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58EA3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="0" w:after="0" w:line="560" w:lineRule="exact"/>
        <w:rPr>
          <w:rFonts w:hint="eastAsia" w:ascii="黑体" w:cs="仿宋_GB2312"/>
          <w:b w:val="0"/>
          <w:szCs w:val="32"/>
        </w:rPr>
      </w:pPr>
      <w:bookmarkStart w:id="0" w:name="_GoBack"/>
      <w:r>
        <w:rPr>
          <w:rFonts w:hint="eastAsia" w:ascii="黑体" w:cs="仿宋_GB2312"/>
          <w:b w:val="0"/>
          <w:szCs w:val="32"/>
        </w:rPr>
        <w:t>附件６</w:t>
      </w:r>
    </w:p>
    <w:p w14:paraId="3C597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3" w:firstLineChars="200"/>
        <w:rPr>
          <w:rFonts w:ascii="仿宋_GB2312" w:eastAsia="仿宋_GB2312" w:cs="CESI小标宋-GB13000"/>
          <w:b/>
          <w:bCs/>
          <w:color w:val="000000"/>
          <w:sz w:val="44"/>
          <w:szCs w:val="44"/>
        </w:rPr>
      </w:pPr>
    </w:p>
    <w:p w14:paraId="74D1F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rPr>
          <w:rFonts w:hint="eastAsia" w:ascii="方正小标宋_GBK" w:eastAsia="方正小标宋_GBK" w:cs="CESI小标宋-GB13000"/>
          <w:color w:val="000000"/>
          <w:sz w:val="44"/>
          <w:szCs w:val="44"/>
        </w:rPr>
      </w:pPr>
      <w:r>
        <w:rPr>
          <w:rFonts w:hint="eastAsia" w:ascii="方正小标宋_GBK" w:eastAsia="方正小标宋_GBK" w:cs="CESI小标宋-GB13000"/>
          <w:color w:val="000000"/>
          <w:sz w:val="44"/>
          <w:szCs w:val="44"/>
        </w:rPr>
        <w:t>安全强基固本攻坚实施方案</w:t>
      </w:r>
    </w:p>
    <w:p w14:paraId="0BE5B398">
      <w:pPr>
        <w:pStyle w:val="2"/>
        <w:keepNext w:val="0"/>
        <w:keepLines w:val="0"/>
        <w:pageBreakBefore w:val="0"/>
        <w:widowControl w:val="0"/>
        <w:suppressLineNumbers w:val="0"/>
        <w:suppressAutoHyphens w:val="0"/>
        <w:kinsoku/>
        <w:autoSpaceDE/>
        <w:autoSpaceDN/>
        <w:bidi w:val="0"/>
        <w:adjustRightInd/>
        <w:snapToGrid/>
        <w:spacing w:line="560" w:lineRule="exact"/>
        <w:ind w:left="0" w:firstLine="482" w:firstLineChars="200"/>
        <w:rPr>
          <w:rFonts w:hint="eastAsia" w:ascii="仿宋_GB2312" w:eastAsia="仿宋_GB2312"/>
        </w:rPr>
      </w:pPr>
    </w:p>
    <w:p w14:paraId="088D02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rPr>
          <w:rFonts w:hint="eastAsia" w:asci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</w:rPr>
        <w:t>为切实推动高质量发展和高水平安全良性互动，提升本质安全水平和应对灾害能力，防范化解债务、金融风险，强化房地产项目全过程监管和风险管控，不断夯实安全稳定基础，特制定本实施方案。</w:t>
      </w:r>
    </w:p>
    <w:p w14:paraId="5E482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rPr>
          <w:rFonts w:hint="eastAsia" w:ascii="黑体" w:eastAsia="黑体" w:cs="黑体"/>
          <w:color w:val="000000"/>
          <w:sz w:val="32"/>
          <w:szCs w:val="32"/>
        </w:rPr>
      </w:pPr>
      <w:r>
        <w:rPr>
          <w:rFonts w:hint="eastAsia" w:ascii="黑体" w:eastAsia="黑体" w:cs="黑体"/>
          <w:color w:val="000000"/>
          <w:sz w:val="32"/>
          <w:szCs w:val="32"/>
        </w:rPr>
        <w:t>一、攻坚目标</w:t>
      </w:r>
    </w:p>
    <w:p w14:paraId="3B43B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640" w:firstLineChars="200"/>
        <w:rPr>
          <w:rFonts w:asci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eastAsia="仿宋_GB2312" w:cs="仿宋_GB2312"/>
          <w:color w:val="000000"/>
          <w:sz w:val="32"/>
          <w:szCs w:val="32"/>
        </w:rPr>
        <w:t>攻坚安全生产深层次矛盾问题，夯实安全生产基层基础，</w:t>
      </w:r>
      <w:r>
        <w:rPr>
          <w:rFonts w:hint="eastAsia" w:ascii="仿宋_GB2312" w:eastAsia="仿宋_GB2312" w:cs="仿宋_GB2312"/>
          <w:color w:val="000000"/>
          <w:sz w:val="32"/>
        </w:rPr>
        <w:t>坚决杜绝</w:t>
      </w:r>
      <w:r>
        <w:rPr>
          <w:rFonts w:hint="eastAsia" w:ascii="仿宋_GB2312" w:eastAsia="仿宋_GB2312" w:cs="仿宋_GB2312"/>
          <w:color w:val="000000"/>
          <w:sz w:val="32"/>
          <w:lang w:eastAsia="zh-CN"/>
        </w:rPr>
        <w:t>较大及以上</w:t>
      </w:r>
      <w:r>
        <w:rPr>
          <w:rFonts w:hint="eastAsia" w:ascii="仿宋_GB2312" w:eastAsia="仿宋_GB2312" w:cs="仿宋_GB2312"/>
          <w:color w:val="000000"/>
          <w:sz w:val="32"/>
        </w:rPr>
        <w:t>事故</w:t>
      </w:r>
      <w:r>
        <w:rPr>
          <w:rFonts w:hint="eastAsia" w:ascii="仿宋_GB2312" w:eastAsia="仿宋_GB2312" w:cs="仿宋_GB2312"/>
          <w:color w:val="000000"/>
          <w:sz w:val="32"/>
          <w:lang w:eastAsia="zh-CN"/>
        </w:rPr>
        <w:t>，</w:t>
      </w:r>
      <w:r>
        <w:rPr>
          <w:rFonts w:hint="eastAsia" w:ascii="仿宋_GB2312" w:eastAsia="仿宋_GB2312" w:cs="仿宋_GB2312"/>
          <w:color w:val="000000"/>
          <w:sz w:val="32"/>
          <w:lang w:val="en-US" w:eastAsia="zh-CN"/>
        </w:rPr>
        <w:t>坚决压减</w:t>
      </w:r>
      <w:r>
        <w:rPr>
          <w:rFonts w:hint="eastAsia" w:ascii="仿宋_GB2312" w:eastAsia="仿宋_GB2312" w:cs="仿宋_GB2312"/>
          <w:color w:val="000000"/>
          <w:sz w:val="32"/>
          <w:lang w:eastAsia="zh-CN"/>
        </w:rPr>
        <w:t>一般事故，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坚决防范自然灾害导致人员伤亡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和重大经济损失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，确保全县生产安全事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故和死亡人数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持续下降，全面提升防灾减灾救灾能力，推动安全治理模式向事前预防转型；抢抓中央一揽子化债政策机遇，稳妥化解存量债务，坚决防止新增隐性债务，健全县级“三保”长效机制，切实兜牢基层“三保”底线，全力维护金融安全和社会大局稳定；全面完成保交房扫尾任务，强化房地产项目全过程监管和风险管控，持续用力推动房地产市场止跌回稳，加快构建房地产发展新模式。</w:t>
      </w:r>
    </w:p>
    <w:p w14:paraId="5F23F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640" w:firstLineChars="200"/>
        <w:rPr>
          <w:rFonts w:hint="eastAsia" w:ascii="仿宋_GB2312" w:eastAsia="仿宋_GB2312" w:cs="黑体"/>
          <w:color w:val="000000"/>
          <w:sz w:val="32"/>
          <w:szCs w:val="32"/>
        </w:rPr>
      </w:pPr>
      <w:r>
        <w:rPr>
          <w:rFonts w:hint="eastAsia" w:ascii="黑体" w:eastAsia="黑体" w:cs="黑体"/>
          <w:color w:val="000000"/>
          <w:szCs w:val="32"/>
        </w:rPr>
        <w:t>二、攻坚任务</w:t>
      </w:r>
    </w:p>
    <w:p w14:paraId="25E917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640" w:firstLineChars="200"/>
        <w:rPr>
          <w:rFonts w:hint="eastAsia" w:ascii="楷体_GB2312" w:eastAsia="楷体_GB2312" w:cs="楷体_GB2312"/>
          <w:szCs w:val="32"/>
        </w:rPr>
      </w:pPr>
      <w:r>
        <w:rPr>
          <w:rFonts w:ascii="楷体_GB2312" w:eastAsia="楷体_GB2312" w:cs="楷体_GB2312"/>
          <w:szCs w:val="32"/>
        </w:rPr>
        <w:t>（一）</w:t>
      </w:r>
      <w:r>
        <w:rPr>
          <w:rFonts w:hint="eastAsia" w:ascii="楷体_GB2312" w:eastAsia="楷体_GB2312" w:cs="楷体_GB2312"/>
          <w:szCs w:val="32"/>
        </w:rPr>
        <w:t>提升本质安全水平和应对灾害能力</w:t>
      </w:r>
    </w:p>
    <w:p w14:paraId="6C2DA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color w:val="000000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  <w:lang w:eastAsia="zh-CN"/>
        </w:rPr>
        <w:t>深化落实</w:t>
      </w: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</w:rPr>
        <w:t>安全生产“八项机制”。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将安全生产工作贯穿经济社会发展各方面、全过程，切实强化安全生产责任落实，全面推进“企业派驻、双重预防、隐患上墙、专家服务、立体督导、举报奖励、挂牌督办、警示约谈”八项机制。</w:t>
      </w:r>
      <w:r>
        <w:rPr>
          <w:rFonts w:hint="eastAsia" w:ascii="仿宋_GB2312" w:eastAsia="仿宋_GB2312" w:cs="楷体_GB2312"/>
          <w:color w:val="000000"/>
          <w:spacing w:val="0"/>
          <w:sz w:val="32"/>
          <w:szCs w:val="32"/>
          <w:lang w:eastAsia="zh-CN"/>
        </w:rPr>
        <w:t>（县应安办牵头，各负有监管职责行业部门分工负责）</w:t>
      </w:r>
    </w:p>
    <w:p w14:paraId="3B6E7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color w:val="000000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2.理顺压实安全生产治本攻坚责任链。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按照“三管三必须”要求，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进一步理顺压实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交通、矿山、消防、危化、燃气等重点行业领域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全过程监管责任链条，实现重点行业从准入、生产、经营、运输、储存、使用各环节监管责任到岗到人。探索新业态、新兴行业领域安全监管，进一步强化建筑保温材料、浮桥吊桥类设施项目、醇基燃料、电化学储能电站、环保设备、邮政快递等部门安全监管职责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。</w:t>
      </w:r>
      <w:r>
        <w:rPr>
          <w:rFonts w:hint="eastAsia" w:ascii="仿宋_GB2312" w:eastAsia="仿宋_GB2312" w:cs="楷体_GB2312"/>
          <w:color w:val="000000"/>
          <w:spacing w:val="0"/>
          <w:sz w:val="32"/>
          <w:szCs w:val="32"/>
          <w:lang w:eastAsia="zh-CN"/>
        </w:rPr>
        <w:t>(县应安办牵头，各负有监管职责行业部门分工负责)</w:t>
      </w:r>
    </w:p>
    <w:p w14:paraId="6FE6F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3.深入开展重点行业领域专项整治。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深入开展交通、矿山、消防、危化品、烟花爆竹、工贸企业、特种设备、建筑施工(含自建房)、燃气、民爆、文化旅游等重点行业领域安全专项整治，紧盯群众身边风险扎实推进建筑保温材料、动火作业等“一件事”全链条整治、巩固深化电动自行车安全隐患、畅通“生命通道”等专项整治成果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(县交通运输局、县公安局、县住房城乡建设局、县应急局、县市场监管局、县工业和信息化局、县文化旅游广电体育局、县消防救援</w:t>
      </w:r>
      <w:r>
        <w:rPr>
          <w:rFonts w:ascii="仿宋_GB2312" w:eastAsia="仿宋_GB2312" w:cs="楷体_GB2312"/>
          <w:spacing w:val="0"/>
          <w:sz w:val="32"/>
          <w:szCs w:val="32"/>
          <w:lang w:eastAsia="zh-CN"/>
        </w:rPr>
        <w:t>大队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、县发展改革局等按职能分工负责)</w:t>
      </w:r>
    </w:p>
    <w:p w14:paraId="57565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4.切实强化风险管控和隐患整治。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健全完善生产经营单位重大事故隐患自查自改常态化机制，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推动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生产经营单位主要负责人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带头查隐患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，完善并落实全员安全生产岗位责任制。切实学好用好重大事故隐患判定标准，提升风险隐患排查整改质量，持续强化“三查一曝光”举措，健全闭环整改和责任倒查机制，全覆盖排查、“零放过”整改，做到风险有效管控、事故隐患动态清零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(县应安办牵头，各负有监管职责行业部门按职能分工负责)</w:t>
      </w:r>
    </w:p>
    <w:p w14:paraId="30893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5.严格监管执法和“打非治违”。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依法规范涉企行政检查，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切实强化监管执法，严格落实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乡镇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政府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和行业部门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“打非”主体责任，健全联动工作机制，加大举报奖励力度，依法强化“一案双罚”“行刑衔接”,严格落实通报约谈、挂牌督办、警示曝光、联合惩戒、停产整顿、责任倒查等措施，严厉打击矿山违法盗采、危化品和烟花爆竹非法生产运输储存、无资质施工和层层转包、</w:t>
      </w:r>
      <w:r>
        <w:rPr>
          <w:rFonts w:hint="eastAsia" w:ascii="仿宋_GB2312" w:eastAsia="仿宋_GB2312" w:cs="仿宋_GB2312"/>
          <w:color w:val="000000"/>
          <w:spacing w:val="-6"/>
          <w:sz w:val="32"/>
          <w:szCs w:val="32"/>
        </w:rPr>
        <w:t>客车客船非法营运、违规电气焊、油气管道乱挖乱钻等非法违法行为。</w:t>
      </w:r>
      <w:r>
        <w:rPr>
          <w:rFonts w:hint="eastAsia" w:ascii="仿宋_GB2312" w:eastAsia="仿宋_GB2312" w:cs="楷体_GB2312"/>
          <w:spacing w:val="-6"/>
          <w:sz w:val="32"/>
          <w:szCs w:val="32"/>
          <w:lang w:eastAsia="zh-CN"/>
        </w:rPr>
        <w:t>(县应安办牵头，各负有监管职责行业部门按职能分工负责)</w:t>
      </w:r>
    </w:p>
    <w:p w14:paraId="5F960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spacing w:val="-11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6.加强安全生产标准化建设。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深入推进企业安全生产标准化建设，落实“双重预防”“一会三卡”等机制，分规模分行业细化安全生产管理体系标准，选树一批安全生产标杆企业，实施有效的正向激励政策。落实达标企业在减少检查频次、复产验收优先、优化安全生产责任保险和工伤保险费率、信贷信用等级评定等方面的激励政策，推广安全生产管理先进经验。充分发挥保险参与风险评估管控、事故预防、事故补偿功能，推动企业强化安全管理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(县应安办、县人力资源社会保障局分别牵头，</w:t>
      </w:r>
      <w:r>
        <w:rPr>
          <w:rFonts w:hint="eastAsia" w:ascii="仿宋_GB2312" w:eastAsia="仿宋_GB2312" w:cs="楷体_GB2312"/>
          <w:sz w:val="32"/>
          <w:szCs w:val="32"/>
        </w:rPr>
        <w:t>沅陵金融监管支局</w:t>
      </w:r>
      <w:r>
        <w:rPr>
          <w:rFonts w:hint="eastAsia" w:ascii="仿宋_GB2312" w:eastAsia="仿宋_GB2312" w:cs="楷体_GB2312"/>
          <w:spacing w:val="-11"/>
          <w:sz w:val="32"/>
          <w:szCs w:val="32"/>
          <w:lang w:val="en-US"/>
        </w:rPr>
        <w:t>、</w:t>
      </w:r>
      <w:r>
        <w:rPr>
          <w:rFonts w:hint="eastAsia" w:ascii="仿宋_GB2312" w:eastAsia="仿宋_GB2312" w:cs="楷体_GB2312"/>
          <w:spacing w:val="-11"/>
          <w:sz w:val="32"/>
          <w:szCs w:val="32"/>
          <w:lang w:eastAsia="zh-CN"/>
        </w:rPr>
        <w:t>各负有监管职责行业部门按职能分工负责)</w:t>
      </w:r>
    </w:p>
    <w:p w14:paraId="75A71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</w:rPr>
        <w:t>.</w:t>
      </w: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  <w:lang w:eastAsia="zh-CN"/>
        </w:rPr>
        <w:t>大力推进</w:t>
      </w: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</w:rPr>
        <w:t>科技兴安。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结合人工智能、大数据、物联网、北斗应用等技术，加快重点行业领域推广应用安全适用新技术新装备，用好“两重”“两新”政策，推动化工落后工艺技术设备、老旧装置淘汰退出和更新改造，推动矿山企业智能化建设，推动老旧消防设施改造升级、推动“机械化换人、自动化减人”,加快推动安全监管模式向事前预防数字化转型。依法推进“小散乱”企业有序关闭、尾矿库闭库销号、老旧直流内燃机车报废、老旧化工生产装置改造提升、“大吨小标”货车违规生产销售治理，2025年底前推动变型拖拉机全部淘汰退出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(县应安办牵头，县发展改革局、县科技局、县工业和信息化局、县交通运输局、县应急局、县市场监管局、县农业农村局、县消防救援</w:t>
      </w:r>
      <w:r>
        <w:rPr>
          <w:rFonts w:ascii="仿宋_GB2312" w:eastAsia="仿宋_GB2312" w:cs="楷体_GB2312"/>
          <w:spacing w:val="0"/>
          <w:sz w:val="32"/>
          <w:szCs w:val="32"/>
          <w:lang w:eastAsia="zh-CN"/>
        </w:rPr>
        <w:t>大队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等按职能分工负责)</w:t>
      </w:r>
    </w:p>
    <w:p w14:paraId="42DB07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8.全面提升全民安全素质。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持续加强矿山、危化、燃气、医院、冶金、重点文物博物馆、大型商业综合体等主要负责人安全教育培训，持续提升高危行业安全管理人员及从业人员安全素质能力。持续开展“开工第一课讲安全活动”，推动企业全员培训。督促生产经营单位加强对外包、外租等关联单位的安全生产指导监督，将接受其作业指令的劳务派遣、灵活用工等人员纳入本单位从业人员统一管理，严格安全培训和管理。聚焦“人人讲安全，个个会应急”,持续推动安全宣传“五进”,坚持开展安全生产月、消防宣传月、防灾减灾日、安全宣传咨询日等活动，加强安全生产警示教育与防范应对各类灾害技能宣传，提高全民安全意识。2025年，重点开展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成品油流通报废机动车回收拆解行业培训，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金属冶炼生产经营单位主要负责人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、水路客运企业主要负责人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、重点文物博物馆等单位消防安全责任人集中培训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(县应安办牵头，县应急局、县文化旅游广电体育局、县消防救援</w:t>
      </w:r>
      <w:r>
        <w:rPr>
          <w:rFonts w:ascii="仿宋_GB2312" w:eastAsia="仿宋_GB2312" w:cs="楷体_GB2312"/>
          <w:spacing w:val="0"/>
          <w:sz w:val="32"/>
          <w:szCs w:val="32"/>
          <w:lang w:eastAsia="zh-CN"/>
        </w:rPr>
        <w:t>大队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、县住房城乡建设局、县交通运输局、县工业和信息化局、县财政局、县卫生健康局、县商务局、县地震局、县融媒体中心等按职能分工负责)</w:t>
      </w:r>
    </w:p>
    <w:p w14:paraId="6753F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9.全力提升监测预警能力。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强化基础建设和科技赋能，建立健全人防、物防和技防相结合的监测预警预报体系，提升监测预警预报效率和质量。优化调整加密监测站点布设，提升气象灾害、地质灾害、水旱灾害、地震灾害、森林火灾等单灾种监测预警能力。完善落实“631”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预报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预警叫应机制，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建立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健全预警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叫应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反馈机制、加快全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应急广播体系终端建设，着力解决预警</w:t>
      </w:r>
      <w:r>
        <w:rPr>
          <w:rFonts w:hint="eastAsia" w:asci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叫应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“最后一公里”。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(县气象局、县自然资源局、县应急局、县水利局、县林业局、县地震局、县文化旅游广电体育局等按职能分工负责)</w:t>
      </w:r>
    </w:p>
    <w:p w14:paraId="557ACB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10.强化自然灾害防范应对。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持续推进2024年重特大自然灾害复盘整改提升工作，强化风险评估，进一步健全体制机制，严格落实处置重大灾情险情领导干部靠前指挥机制，修订完善各类预案方案，强化队伍、物资、装备落实，加强培训演练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，重点开展乡镇正职业务培训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。加强山区、城区以及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沅江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及其支流沿岸重要城镇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防洪排涝工程建设，推进自然灾害应急能力提升工程建设，实施地质灾害综合防治能力提升“八大工程”,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加强切坡建房户的地灾防范和管理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，深化中小河流、病险水库(闸)治理和山洪灾害防治。狠抓巡查防守，强化技术支撑，突出避险转移，妥善安置受灾群众，科学有序应对各类自然灾害。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(县应急局、县水利局、县自然资源局、县林业局、县城市管理综合执法局分别牵头，县气象局、县地震局、县住房城乡建设局、县农业农村局、县发展改革局、县消防救援</w:t>
      </w:r>
      <w:r>
        <w:rPr>
          <w:rFonts w:ascii="仿宋_GB2312" w:eastAsia="仿宋_GB2312" w:cs="楷体_GB2312"/>
          <w:spacing w:val="0"/>
          <w:sz w:val="32"/>
          <w:szCs w:val="32"/>
          <w:lang w:eastAsia="zh-CN"/>
        </w:rPr>
        <w:t>大队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等按职能分工负责)</w:t>
      </w:r>
    </w:p>
    <w:p w14:paraId="3DCC7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11.加强应急救援队伍建设。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加强救援配套设施建设和运维，持续加强国家综合性消防救援队伍建设，强化消防救援指战员常态化训练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进一步深化县、乡、村应急救援队伍建设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推进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县专业应急救援支队等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骨干救援队伍装备能力建设，加大森林火灾、抗洪抢险、地震、地质灾害和安全生产等领域专业救援队伍建设力度；深入推进城市消防站建设，优化物资储备体系建设，提升应急救援体系和能力现代化水平。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(县应急局、县消防救援</w:t>
      </w:r>
      <w:r>
        <w:rPr>
          <w:rFonts w:ascii="仿宋_GB2312" w:eastAsia="仿宋_GB2312" w:cs="楷体_GB2312"/>
          <w:spacing w:val="0"/>
          <w:sz w:val="32"/>
          <w:szCs w:val="32"/>
          <w:lang w:eastAsia="zh-CN"/>
        </w:rPr>
        <w:t>大队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牵头)</w:t>
      </w:r>
    </w:p>
    <w:p w14:paraId="6123E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12.大力提升基层应急管理能力。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贯彻落实《关于进一步提升基层应急管理能力的意见》,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理顺应急管理体制，建立应急指挥机制，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坚持资源统筹、县乡一体、上下联动、条块结合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，推动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乡镇（街道）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村（社区）依法依规开展巡查巡护、隐患排查、信息传递、先期处置、组织群众疏散撤离以及应急知识宣传普及等应急管理工作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进一步提升基层应急管理组织指挥能力，提高基层安全风险防范能力，增强基层应急救援队伍实战和应急处置能力，强化基层基础、守牢安全底线。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(县应急局、县消防救援大队牵头)</w:t>
      </w:r>
    </w:p>
    <w:p w14:paraId="34B40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640" w:firstLineChars="200"/>
        <w:rPr>
          <w:rFonts w:hint="eastAsia" w:ascii="楷体_GB2312" w:eastAsia="楷体_GB2312" w:cs="楷体_GB2312"/>
          <w:szCs w:val="32"/>
        </w:rPr>
      </w:pPr>
      <w:r>
        <w:rPr>
          <w:rFonts w:ascii="楷体_GB2312" w:eastAsia="楷体_GB2312" w:cs="楷体_GB2312"/>
          <w:szCs w:val="32"/>
        </w:rPr>
        <w:t>（二）</w:t>
      </w:r>
      <w:r>
        <w:rPr>
          <w:rFonts w:hint="eastAsia" w:ascii="楷体_GB2312" w:eastAsia="楷体_GB2312" w:cs="楷体_GB2312"/>
          <w:szCs w:val="32"/>
        </w:rPr>
        <w:t>防范化解债务和金融风险</w:t>
      </w:r>
    </w:p>
    <w:p w14:paraId="34EC8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1.坚决防止新增隐性债务。</w:t>
      </w:r>
      <w:r>
        <w:rPr>
          <w:rFonts w:hint="eastAsia" w:ascii="仿宋_GB2312" w:eastAsia="仿宋_GB2312" w:cs="仿宋_GB2312"/>
          <w:color w:val="000000"/>
          <w:spacing w:val="6"/>
          <w:sz w:val="32"/>
          <w:szCs w:val="32"/>
        </w:rPr>
        <w:t>将不新增隐性债务作为“铁的纪律”，持续加强预算管理，督促依法合规建设政府投资项目；对未纳入预算安排的政府支出事项和投资项目，一律不得实施，坚决堵住违法违规举债的途径。加大债务领域监督力度，做好日常债务数据监管工作，按月进行债务数据变化动态分析，测算风险情况，加强风险排查，整饬财经秩序，对违规举债行为严肃追责问责。</w:t>
      </w:r>
      <w:r>
        <w:rPr>
          <w:rFonts w:hint="eastAsia" w:ascii="仿宋_GB2312" w:eastAsia="仿宋_GB2312" w:cs="楷体_GB2312"/>
          <w:spacing w:val="6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6"/>
          <w:sz w:val="32"/>
          <w:szCs w:val="32"/>
          <w:lang w:val="en-US" w:eastAsia="zh-CN"/>
        </w:rPr>
        <w:t>县财</w:t>
      </w:r>
      <w:r>
        <w:rPr>
          <w:rFonts w:hint="eastAsia" w:ascii="仿宋_GB2312" w:eastAsia="仿宋_GB2312" w:cs="楷体_GB2312"/>
          <w:spacing w:val="6"/>
          <w:sz w:val="32"/>
          <w:szCs w:val="32"/>
          <w:lang w:eastAsia="zh-CN"/>
        </w:rPr>
        <w:t>政局、县发展改革局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、县审计局等按职能分工负责)</w:t>
      </w:r>
    </w:p>
    <w:p w14:paraId="1DA3F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2.积极稳妥化解存量债务。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结合我县实情精准用好增量化债政策，平稳有序将法定债务之外的隐性债务显性化为政府法定债务，杜绝挤占挪用、虚假化债。积极盘活国有资金资产资源，多渠道筹集资金，抓实既定化债举措，落实法定债务到期偿还责任，坚决完成化债任务。健全债务监测机制，开展全口径地方债务监测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(县财政局、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县金改办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、县审计局等按职能分工负责)</w:t>
      </w:r>
    </w:p>
    <w:p w14:paraId="34C7F2D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3.守牢债务风险底线。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加快融资平台市场化转型，加力协调金融机构、完成全年压降目标。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持续深化“四转四打包”模式，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强化平台退后管理，设置观察期跟踪监测、严禁虚假退出，严防债务风险。加大财金联动力度、引导激励金融机构合理运用债务重组、置换等手段，推动债务成本实质下降，债务结构持续优化，做好除险防爆工作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(县财政局、</w:t>
      </w:r>
      <w:r>
        <w:rPr>
          <w:rFonts w:hint="eastAsia" w:ascii="仿宋_GB2312" w:eastAsia="仿宋_GB2312" w:cs="楷体_GB2312"/>
          <w:sz w:val="32"/>
          <w:szCs w:val="32"/>
          <w:lang w:val="en-US"/>
        </w:rPr>
        <w:t>人民银行沅陵营管部、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县金改办等按职能分工负责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)</w:t>
      </w:r>
    </w:p>
    <w:p w14:paraId="7A9C0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4.兜牢基层“三保”底线。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坚持党政机关持续过紧日子，加强财会监督，强化财审联动，勤俭办事业，切实规范财政管理，对违反财经纪律行为严肃追责问责。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(县财政局、县审计局等按职能分工负责)</w:t>
      </w:r>
    </w:p>
    <w:p w14:paraId="7BF8B9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5.有序推动中小金融机构改革化险。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坚持“一行一策”,加大力度推动高风险中小金融机构化险脱困。根据改革总体方案要求，适时</w:t>
      </w:r>
      <w:r>
        <w:rPr>
          <w:rFonts w:ascii="仿宋_GB2312" w:eastAsia="仿宋_GB2312" w:cs="仿宋_GB2312"/>
          <w:color w:val="000000"/>
          <w:sz w:val="32"/>
          <w:szCs w:val="32"/>
        </w:rPr>
        <w:t>配合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推进全市中小金融机构统一法人工作。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（</w:t>
      </w:r>
      <w:r>
        <w:rPr>
          <w:rFonts w:hint="eastAsia" w:ascii="仿宋_GB2312" w:eastAsia="仿宋_GB2312" w:cs="楷体_GB2312"/>
          <w:sz w:val="32"/>
          <w:szCs w:val="32"/>
          <w:lang w:val="en-US"/>
        </w:rPr>
        <w:t>沅陵金融监管支局、人民银行沅陵营管部、</w:t>
      </w:r>
      <w:r>
        <w:rPr>
          <w:rFonts w:ascii="仿宋_GB2312" w:eastAsia="仿宋_GB2312" w:cs="楷体_GB2312"/>
          <w:sz w:val="32"/>
          <w:szCs w:val="32"/>
          <w:lang w:val="en-US"/>
        </w:rPr>
        <w:t>县</w:t>
      </w:r>
      <w:r>
        <w:rPr>
          <w:rFonts w:hint="eastAsia" w:ascii="仿宋_GB2312" w:eastAsia="仿宋_GB2312" w:cs="楷体_GB2312"/>
          <w:sz w:val="32"/>
          <w:szCs w:val="32"/>
          <w:lang w:val="en-US"/>
        </w:rPr>
        <w:t>农商行、县金改办等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按职责分工负责）</w:t>
      </w:r>
    </w:p>
    <w:p w14:paraId="703F0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6.全力推进重大案件风险处置。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持续开展打击非法集资专项行动，充分挖掘一批问题线索，及早发现一批风险隐患，有效处置一批重大案件，坚决惩处一批违法分子。按照“三统两分”原则要求，配合案件主办地做好重大案件的后续处置工作。多措并举加大追赃挽损力度，坚持“应追尽追、应缴尽缴”,依法追缴涉案人员违法所得、不当得利，切实提升善后处置工作质效。</w:t>
      </w:r>
      <w:r>
        <w:rPr>
          <w:rFonts w:hint="eastAsia" w:ascii="仿宋_GB2312" w:eastAsia="仿宋_GB2312" w:cs="楷体_GB2312"/>
          <w:sz w:val="32"/>
          <w:szCs w:val="32"/>
        </w:rPr>
        <w:t>(</w:t>
      </w:r>
      <w:r>
        <w:rPr>
          <w:rFonts w:hint="eastAsia" w:ascii="仿宋_GB2312" w:eastAsia="仿宋_GB2312" w:cs="楷体_GB2312"/>
          <w:sz w:val="32"/>
          <w:szCs w:val="32"/>
          <w:lang w:val="en-US"/>
        </w:rPr>
        <w:t>县金改办</w:t>
      </w:r>
      <w:r>
        <w:rPr>
          <w:rFonts w:hint="eastAsia" w:ascii="仿宋_GB2312" w:eastAsia="仿宋_GB2312" w:cs="楷体_GB2312"/>
          <w:sz w:val="32"/>
          <w:szCs w:val="32"/>
        </w:rPr>
        <w:t>、县人民法院、县人民检察院、县公安局、县信访局、</w:t>
      </w:r>
      <w:r>
        <w:rPr>
          <w:rFonts w:hint="eastAsia" w:ascii="仿宋_GB2312" w:eastAsia="仿宋_GB2312" w:cs="楷体_GB2312"/>
          <w:sz w:val="32"/>
          <w:szCs w:val="32"/>
          <w:lang w:val="en-US"/>
        </w:rPr>
        <w:t>沅陵金融监管支局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等按职能分工负责)</w:t>
      </w:r>
    </w:p>
    <w:p w14:paraId="3476B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rPr>
          <w:rFonts w:hint="eastAsia" w:ascii="楷体_GB2312" w:eastAsia="楷体_GB2312" w:cs="楷体_GB2312"/>
          <w:spacing w:val="0"/>
          <w:sz w:val="32"/>
          <w:szCs w:val="32"/>
          <w:lang w:eastAsia="zh-CN"/>
        </w:rPr>
      </w:pPr>
      <w:r>
        <w:rPr>
          <w:rFonts w:ascii="楷体_GB2312" w:eastAsia="楷体_GB2312" w:cs="楷体_GB2312"/>
          <w:spacing w:val="0"/>
          <w:sz w:val="32"/>
          <w:szCs w:val="32"/>
          <w:lang w:eastAsia="zh-CN"/>
        </w:rPr>
        <w:t>（三）</w:t>
      </w:r>
      <w:r>
        <w:rPr>
          <w:rFonts w:hint="eastAsia" w:ascii="楷体_GB2312" w:eastAsia="楷体_GB2312" w:cs="楷体_GB2312"/>
          <w:spacing w:val="0"/>
          <w:sz w:val="32"/>
          <w:szCs w:val="32"/>
          <w:lang w:eastAsia="zh-CN"/>
        </w:rPr>
        <w:t>强化房地产项目全过程监管</w:t>
      </w:r>
    </w:p>
    <w:p w14:paraId="15A4F3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spacing w:val="6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1.推动房地产项目风险出清。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依托省工程建设项目审批管理系统和动态监测平台，按照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房地产</w:t>
      </w:r>
      <w:r>
        <w:rPr>
          <w:rFonts w:hint="eastAsia" w:ascii="仿宋_GB2312" w:eastAsia="仿宋_GB2312" w:cs="仿宋_GB2312"/>
          <w:b w:val="0"/>
          <w:bCs/>
          <w:color w:val="000000"/>
          <w:kern w:val="11"/>
          <w:sz w:val="32"/>
          <w:szCs w:val="32"/>
          <w:u w:val="none"/>
          <w:lang w:val="en-US" w:eastAsia="zh-CN" w:bidi="ar-SA"/>
        </w:rPr>
        <w:t>历史遗留项目、保交楼、保交房、在建未预售项目、其他风险防控项目等五类项目的风险处置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全面排查存量风险，实施分类管控，确保存量风险出清。全面完成保交房扫尾任务。强化房地产全过程监管，实现从项目立项到房屋使用的全生命周期管理。发挥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房地产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融资协调机制作用，强化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公积金、维修资金等住房类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资金奖惩激励导向作用，持续推动“白名单”融资扩围增效。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住房城乡建设局、</w:t>
      </w:r>
      <w:r>
        <w:rPr>
          <w:rFonts w:hint="eastAsia" w:ascii="仿宋_GB2312" w:eastAsia="仿宋_GB2312" w:cs="楷体_GB2312"/>
          <w:sz w:val="32"/>
          <w:szCs w:val="32"/>
          <w:lang w:val="en-US"/>
        </w:rPr>
        <w:t>沅陵金融监管支局</w:t>
      </w:r>
      <w:r>
        <w:rPr>
          <w:rFonts w:hint="eastAsia" w:ascii="仿宋_GB2312" w:eastAsia="仿宋_GB2312" w:cs="楷体_GB2312"/>
          <w:sz w:val="32"/>
          <w:szCs w:val="32"/>
        </w:rPr>
        <w:t>牵头，</w:t>
      </w:r>
      <w:r>
        <w:rPr>
          <w:rFonts w:hint="eastAsia" w:ascii="仿宋_GB2312" w:eastAsia="仿宋_GB2312" w:cs="楷体_GB2312"/>
          <w:sz w:val="32"/>
          <w:szCs w:val="32"/>
          <w:lang w:val="en-US"/>
        </w:rPr>
        <w:t>县政府办</w:t>
      </w:r>
      <w:r>
        <w:rPr>
          <w:rFonts w:ascii="仿宋_GB2312" w:eastAsia="仿宋_GB2312" w:cs="楷体_GB2312"/>
          <w:sz w:val="32"/>
          <w:szCs w:val="32"/>
          <w:lang w:val="en-US"/>
        </w:rPr>
        <w:t>公室</w:t>
      </w:r>
      <w:r>
        <w:rPr>
          <w:rFonts w:hint="eastAsia" w:ascii="仿宋_GB2312" w:eastAsia="仿宋_GB2312" w:cs="楷体_GB2312"/>
          <w:sz w:val="32"/>
          <w:szCs w:val="32"/>
          <w:lang w:val="en-US"/>
        </w:rPr>
        <w:t>、县金改办</w:t>
      </w:r>
      <w:r>
        <w:rPr>
          <w:rFonts w:hint="eastAsia" w:ascii="仿宋_GB2312" w:eastAsia="仿宋_GB2312" w:cs="楷体_GB2312"/>
          <w:sz w:val="32"/>
          <w:szCs w:val="32"/>
        </w:rPr>
        <w:t>、</w:t>
      </w:r>
      <w:r>
        <w:rPr>
          <w:rFonts w:hint="eastAsia" w:ascii="仿宋_GB2312" w:eastAsia="仿宋_GB2312" w:cs="楷体_GB2312"/>
          <w:sz w:val="32"/>
          <w:szCs w:val="32"/>
          <w:lang w:val="en-US"/>
        </w:rPr>
        <w:t>县</w:t>
      </w:r>
      <w:r>
        <w:rPr>
          <w:rFonts w:ascii="仿宋_GB2312" w:eastAsia="仿宋_GB2312" w:cs="楷体_GB2312"/>
          <w:sz w:val="32"/>
          <w:szCs w:val="32"/>
          <w:lang w:val="en-US"/>
        </w:rPr>
        <w:t>人民</w:t>
      </w:r>
      <w:r>
        <w:rPr>
          <w:rFonts w:hint="eastAsia" w:ascii="仿宋_GB2312" w:eastAsia="仿宋_GB2312" w:cs="楷体_GB2312"/>
          <w:sz w:val="32"/>
          <w:szCs w:val="32"/>
        </w:rPr>
        <w:t>法院、</w:t>
      </w:r>
      <w:r>
        <w:rPr>
          <w:rFonts w:hint="eastAsia" w:ascii="仿宋_GB2312" w:eastAsia="仿宋_GB2312" w:cs="楷体_GB2312"/>
          <w:sz w:val="32"/>
          <w:szCs w:val="32"/>
          <w:lang w:val="en-US"/>
        </w:rPr>
        <w:t>县</w:t>
      </w:r>
      <w:r>
        <w:rPr>
          <w:rFonts w:hint="eastAsia" w:ascii="仿宋_GB2312" w:eastAsia="仿宋_GB2312" w:cs="楷体_GB2312"/>
          <w:sz w:val="32"/>
          <w:szCs w:val="32"/>
        </w:rPr>
        <w:t>公安局、</w:t>
      </w:r>
      <w:r>
        <w:rPr>
          <w:rFonts w:hint="eastAsia" w:ascii="仿宋_GB2312" w:eastAsia="仿宋_GB2312" w:cs="楷体_GB2312"/>
          <w:spacing w:val="6"/>
          <w:sz w:val="32"/>
          <w:szCs w:val="32"/>
          <w:lang w:val="en-US"/>
        </w:rPr>
        <w:t>县</w:t>
      </w:r>
      <w:r>
        <w:rPr>
          <w:rFonts w:hint="eastAsia" w:ascii="仿宋_GB2312" w:eastAsia="仿宋_GB2312" w:cs="楷体_GB2312"/>
          <w:spacing w:val="6"/>
          <w:sz w:val="32"/>
          <w:szCs w:val="32"/>
        </w:rPr>
        <w:t>自然资源局、人</w:t>
      </w:r>
      <w:r>
        <w:rPr>
          <w:rFonts w:hint="eastAsia" w:ascii="仿宋_GB2312" w:eastAsia="仿宋_GB2312" w:cs="楷体_GB2312"/>
          <w:spacing w:val="6"/>
          <w:sz w:val="32"/>
          <w:szCs w:val="32"/>
          <w:lang w:val="en-US"/>
        </w:rPr>
        <w:t>民银</w:t>
      </w:r>
      <w:r>
        <w:rPr>
          <w:rFonts w:hint="eastAsia" w:ascii="仿宋_GB2312" w:eastAsia="仿宋_GB2312" w:cs="楷体_GB2312"/>
          <w:spacing w:val="6"/>
          <w:sz w:val="32"/>
          <w:szCs w:val="32"/>
        </w:rPr>
        <w:t>行沅陵营管部等</w:t>
      </w:r>
      <w:r>
        <w:rPr>
          <w:rFonts w:hint="eastAsia" w:ascii="仿宋_GB2312" w:eastAsia="仿宋_GB2312" w:cs="楷体_GB2312"/>
          <w:spacing w:val="6"/>
          <w:sz w:val="32"/>
          <w:szCs w:val="32"/>
          <w:lang w:eastAsia="zh-CN"/>
        </w:rPr>
        <w:t>按职能分工负责)</w:t>
      </w:r>
    </w:p>
    <w:p w14:paraId="73315D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</w:rPr>
        <w:t>2.推动房地产市场止跌回稳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。围绕“严控增量、优化存量、提高质量”,指导各地有效落实存量政策、用好增量政策。充分发挥好城市政府房地产市场调控自主权，因城施策，用足用好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套内建筑面积计价、以旧换新、房票制度等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政策工具箱，扩大城中村、危旧房改造规模，加大保障性住房建设和好房子供给，激发购房需求潜力。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住房城乡建设局牵头，</w:t>
      </w:r>
      <w:r>
        <w:rPr>
          <w:rFonts w:hint="eastAsia" w:ascii="仿宋_GB2312" w:eastAsia="仿宋_GB2312" w:cs="楷体_GB2312"/>
          <w:sz w:val="32"/>
          <w:szCs w:val="32"/>
          <w:lang w:val="en-US"/>
        </w:rPr>
        <w:t>县政府办</w:t>
      </w:r>
      <w:r>
        <w:rPr>
          <w:rFonts w:ascii="仿宋_GB2312" w:eastAsia="仿宋_GB2312" w:cs="楷体_GB2312"/>
          <w:sz w:val="32"/>
          <w:szCs w:val="32"/>
          <w:lang w:val="en-US"/>
        </w:rPr>
        <w:t>公室</w:t>
      </w:r>
      <w:r>
        <w:rPr>
          <w:rFonts w:hint="eastAsia" w:ascii="仿宋_GB2312" w:eastAsia="仿宋_GB2312" w:cs="楷体_GB2312"/>
          <w:sz w:val="32"/>
          <w:szCs w:val="32"/>
          <w:lang w:val="en-US"/>
        </w:rPr>
        <w:t>、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县金改办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、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县人民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法院、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公安局、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自然资源局、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财政局、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教育局、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市场监管局、人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民银行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沅陵营管部等按职能分工负责)</w:t>
      </w:r>
    </w:p>
    <w:p w14:paraId="2F317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 w:cs="仿宋_GB2312"/>
          <w:b/>
          <w:bCs/>
          <w:color w:val="000000"/>
          <w:sz w:val="32"/>
          <w:szCs w:val="32"/>
        </w:rPr>
        <w:t>3.着力构建房地产发展新模式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。完善“人、房、地、钱”要素联动机制，健全住房管理、土地供应、融资、财税等基础性制度，完善“保障+市场”住房体系。合理测算住房需求，以“一楼一策”为基础，构建“一城一策”精准调控机制，有力有序推行现房销售。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(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住房城乡建设局牵头，</w:t>
      </w:r>
      <w:r>
        <w:rPr>
          <w:rFonts w:hint="eastAsia" w:ascii="仿宋_GB2312" w:eastAsia="仿宋_GB2312" w:cs="楷体_GB2312"/>
          <w:sz w:val="32"/>
          <w:szCs w:val="32"/>
          <w:lang w:val="en-US"/>
        </w:rPr>
        <w:t>县政府办</w:t>
      </w:r>
      <w:r>
        <w:rPr>
          <w:rFonts w:ascii="仿宋_GB2312" w:eastAsia="仿宋_GB2312" w:cs="楷体_GB2312"/>
          <w:sz w:val="32"/>
          <w:szCs w:val="32"/>
          <w:lang w:val="en-US"/>
        </w:rPr>
        <w:t>公室</w:t>
      </w:r>
      <w:r>
        <w:rPr>
          <w:rFonts w:hint="eastAsia" w:ascii="仿宋_GB2312" w:eastAsia="仿宋_GB2312" w:cs="楷体_GB2312"/>
          <w:sz w:val="32"/>
          <w:szCs w:val="32"/>
          <w:lang w:val="en-US"/>
        </w:rPr>
        <w:t>、县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金改办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、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县人民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法院、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公安局、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自然资源局、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财政局、</w:t>
      </w:r>
      <w:r>
        <w:rPr>
          <w:rFonts w:hint="eastAsia" w:ascii="仿宋_GB2312" w:eastAsia="仿宋_GB2312" w:cs="楷体_GB2312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0"/>
          <w:sz w:val="32"/>
          <w:szCs w:val="32"/>
          <w:lang w:eastAsia="zh-CN"/>
        </w:rPr>
        <w:t>教育局、</w:t>
      </w:r>
      <w:r>
        <w:rPr>
          <w:rFonts w:hint="eastAsia" w:ascii="仿宋_GB2312" w:eastAsia="仿宋_GB2312" w:cs="楷体_GB2312"/>
          <w:spacing w:val="6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楷体_GB2312"/>
          <w:spacing w:val="6"/>
          <w:sz w:val="32"/>
          <w:szCs w:val="32"/>
          <w:lang w:eastAsia="zh-CN"/>
        </w:rPr>
        <w:t>市场监管局、人</w:t>
      </w:r>
      <w:r>
        <w:rPr>
          <w:rFonts w:hint="eastAsia" w:ascii="仿宋_GB2312" w:eastAsia="仿宋_GB2312" w:cs="楷体_GB2312"/>
          <w:spacing w:val="6"/>
          <w:sz w:val="32"/>
          <w:szCs w:val="32"/>
          <w:lang w:val="en-US" w:eastAsia="zh-CN"/>
        </w:rPr>
        <w:t>民银</w:t>
      </w:r>
      <w:r>
        <w:rPr>
          <w:rFonts w:hint="eastAsia" w:ascii="仿宋_GB2312" w:eastAsia="仿宋_GB2312" w:cs="楷体_GB2312"/>
          <w:spacing w:val="6"/>
          <w:sz w:val="32"/>
          <w:szCs w:val="32"/>
          <w:lang w:eastAsia="zh-CN"/>
        </w:rPr>
        <w:t>行沅陵营管部等按职能分工负责)</w:t>
      </w:r>
    </w:p>
    <w:p w14:paraId="38BE7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60" w:lineRule="exact"/>
        <w:ind w:left="0" w:firstLine="640" w:firstLineChars="200"/>
        <w:rPr>
          <w:rFonts w:hint="eastAsia" w:ascii="黑体" w:eastAsia="黑体" w:cs="黑体"/>
          <w:color w:val="000000"/>
          <w:szCs w:val="32"/>
        </w:rPr>
      </w:pPr>
      <w:r>
        <w:rPr>
          <w:rFonts w:hint="eastAsia" w:ascii="黑体" w:eastAsia="黑体" w:cs="黑体"/>
          <w:color w:val="000000"/>
          <w:szCs w:val="32"/>
        </w:rPr>
        <w:t>三、推进机制</w:t>
      </w:r>
    </w:p>
    <w:p w14:paraId="086B1FD7">
      <w:r>
        <w:rPr>
          <w:rFonts w:hint="eastAsia" w:ascii="仿宋_GB2312" w:eastAsia="仿宋_GB2312" w:cs="仿宋_GB2312"/>
          <w:color w:val="000000"/>
          <w:sz w:val="32"/>
          <w:szCs w:val="32"/>
        </w:rPr>
        <w:t>成立安全强基固本攻坚工作专班，由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县政府办公室联系副主任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担任召集人，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县应急局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财政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住房城乡建设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主要负责人担任副召集人，成员单位包括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县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政府办</w:t>
      </w:r>
      <w:r>
        <w:rPr>
          <w:rFonts w:ascii="仿宋_GB2312" w:eastAsia="仿宋_GB2312" w:cs="仿宋_GB2312"/>
          <w:color w:val="000000"/>
          <w:sz w:val="32"/>
          <w:szCs w:val="32"/>
        </w:rPr>
        <w:t>公室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县金改办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委网信办、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人民法院、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人民检察院、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县发展改革局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教育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县科技局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工业和信息化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公安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财政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人力资源社会保障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县自然资源局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交通运输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水利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商务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文化旅游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广电体育局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卫生健康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审计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局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县应急局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林业局、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市场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监管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局、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信访局、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县消防救援大队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气象局、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地震局、人民银行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沅陵营管部、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沅陵金融监管支局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等，办公室设在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县应急局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，负责日常协调和调度工作。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小标宋-GB13000">
    <w:altName w:val="宋体"/>
    <w:panose1 w:val="02000500000000000000"/>
    <w:charset w:val="86"/>
    <w:family w:val="script"/>
    <w:pitch w:val="default"/>
    <w:sig w:usb0="00000000" w:usb1="00000000" w:usb2="00000016" w:usb3="00000000" w:csb0="0004000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7F3F68"/>
    <w:rsid w:val="4D7F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32"/>
      <w:szCs w:val="24"/>
      <w:lang w:val="en-US" w:eastAsia="zh-CN" w:bidi="ar-SA"/>
    </w:rPr>
  </w:style>
  <w:style w:type="paragraph" w:styleId="3">
    <w:name w:val="heading 2"/>
    <w:basedOn w:val="1"/>
    <w:next w:val="1"/>
    <w:uiPriority w:val="0"/>
    <w:pPr>
      <w:keepNext/>
      <w:keepLines/>
      <w:widowControl w:val="0"/>
      <w:spacing w:before="260" w:beforeAutospacing="0" w:after="26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2">
    <w:name w:val="heading 6"/>
    <w:basedOn w:val="1"/>
    <w:next w:val="1"/>
    <w:uiPriority w:val="0"/>
    <w:pPr>
      <w:keepNext/>
      <w:keepLines/>
      <w:widowControl w:val="0"/>
      <w:spacing w:line="312" w:lineRule="auto"/>
      <w:outlineLvl w:val="5"/>
    </w:pPr>
    <w:rPr>
      <w:rFonts w:ascii="Arial" w:hAnsi="Arial" w:eastAsia="黑体"/>
      <w:b/>
      <w:bCs/>
      <w:sz w:val="24"/>
      <w:szCs w:val="2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2026-09-23T07:46:00Z</dcterms:created>
  <dc:creator>I</dc:creator>
  <cp:lastModifiedBy>I</cp:lastModifiedBy>
  <dcterms:modified xsi:type="dcterms:W3CDTF">2026-09-23T07:46:54Z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2EE6CB2216474AD38B47C2CAD3219DF3_11</vt:lpwstr>
  </property>
  <property fmtid="{D5CDD505-2E9C-101B-9397-08002B2CF9AE}" pid="4" name="KSOTemplateDocerSaveRecord">
    <vt:lpwstr>eyJoZGlkIjoiNzE0NDk5MGE1ZWE4NDliODViMDM3NGVmZmU0NmEyNTciLCJ1c2VySWQiOiI2NTMxOTM3NzgifQ==</vt:lpwstr>
  </property>
</Properties>
</file>