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773476">
      <w:pPr>
        <w:pStyle w:val="3"/>
        <w:keepNext w:val="0"/>
        <w:keepLines w:val="0"/>
        <w:pageBreakBefore w:val="0"/>
        <w:widowControl w:val="0"/>
        <w:kinsoku/>
        <w:wordWrap/>
        <w:overflowPunct/>
        <w:topLinePunct w:val="0"/>
        <w:autoSpaceDE/>
        <w:autoSpaceDN/>
        <w:bidi w:val="0"/>
        <w:adjustRightInd/>
        <w:snapToGrid/>
        <w:spacing w:before="0" w:after="0" w:line="560" w:lineRule="exact"/>
        <w:rPr>
          <w:rFonts w:hint="eastAsia" w:ascii="黑体" w:cs="仿宋_GB2312"/>
          <w:b w:val="0"/>
          <w:sz w:val="32"/>
          <w:szCs w:val="32"/>
        </w:rPr>
      </w:pPr>
      <w:r>
        <w:rPr>
          <w:rFonts w:hint="eastAsia" w:ascii="黑体" w:cs="仿宋_GB2312"/>
          <w:b w:val="0"/>
          <w:sz w:val="32"/>
          <w:szCs w:val="32"/>
          <w:lang w:eastAsia="zh-CN"/>
        </w:rPr>
        <w:t>附件５</w:t>
      </w:r>
    </w:p>
    <w:p w14:paraId="7211D81E">
      <w:pPr>
        <w:keepNext w:val="0"/>
        <w:keepLines w:val="0"/>
        <w:pageBreakBefore w:val="0"/>
        <w:widowControl w:val="0"/>
        <w:kinsoku/>
        <w:wordWrap/>
        <w:overflowPunct/>
        <w:topLinePunct w:val="0"/>
        <w:autoSpaceDE/>
        <w:autoSpaceDN/>
        <w:adjustRightInd/>
        <w:snapToGrid/>
        <w:spacing w:line="560" w:lineRule="exact"/>
        <w:jc w:val="center"/>
        <w:rPr>
          <w:rFonts w:ascii="方正小标宋_GBK" w:eastAsia="方正小标宋_GBK" w:cs="CESI小标宋-GB13000"/>
          <w:bCs/>
          <w:sz w:val="44"/>
          <w:szCs w:val="44"/>
        </w:rPr>
      </w:pPr>
    </w:p>
    <w:p w14:paraId="3C69C9FF">
      <w:pPr>
        <w:keepNext w:val="0"/>
        <w:keepLines w:val="0"/>
        <w:pageBreakBefore w:val="0"/>
        <w:widowControl w:val="0"/>
        <w:kinsoku/>
        <w:wordWrap/>
        <w:overflowPunct/>
        <w:topLinePunct w:val="0"/>
        <w:autoSpaceDE/>
        <w:autoSpaceDN/>
        <w:adjustRightInd/>
        <w:snapToGrid/>
        <w:spacing w:line="560" w:lineRule="exact"/>
        <w:jc w:val="center"/>
        <w:rPr>
          <w:rFonts w:hint="eastAsia" w:ascii="方正小标宋_GBK" w:eastAsia="方正小标宋_GBK" w:cs="CESI小标宋-GB13000"/>
          <w:bCs/>
          <w:sz w:val="44"/>
          <w:szCs w:val="44"/>
        </w:rPr>
      </w:pPr>
      <w:bookmarkStart w:id="0" w:name="_GoBack"/>
      <w:r>
        <w:rPr>
          <w:rFonts w:hint="eastAsia" w:ascii="方正小标宋_GBK" w:eastAsia="方正小标宋_GBK" w:cs="CESI小标宋-GB13000"/>
          <w:bCs/>
          <w:sz w:val="44"/>
          <w:szCs w:val="44"/>
        </w:rPr>
        <w:t>环境优化提升攻坚实施方案</w:t>
      </w:r>
      <w:bookmarkEnd w:id="0"/>
    </w:p>
    <w:p w14:paraId="01DECD3A">
      <w:pPr>
        <w:pStyle w:val="2"/>
        <w:keepNext w:val="0"/>
        <w:keepLines w:val="0"/>
        <w:pageBreakBefore w:val="0"/>
        <w:widowControl w:val="0"/>
        <w:suppressLineNumbers w:val="0"/>
        <w:suppressAutoHyphens w:val="0"/>
        <w:kinsoku/>
        <w:autoSpaceDE/>
        <w:autoSpaceDN/>
        <w:bidi w:val="0"/>
        <w:adjustRightInd/>
        <w:snapToGrid/>
        <w:spacing w:line="560" w:lineRule="exact"/>
        <w:ind w:left="0" w:firstLine="482" w:firstLineChars="200"/>
        <w:rPr>
          <w:rFonts w:hint="eastAsia" w:ascii="仿宋_GB2312" w:eastAsia="仿宋_GB2312"/>
        </w:rPr>
      </w:pPr>
    </w:p>
    <w:p w14:paraId="0F344A56">
      <w:pPr>
        <w:keepNext w:val="0"/>
        <w:keepLines w:val="0"/>
        <w:pageBreakBefore w:val="0"/>
        <w:widowControl w:val="0"/>
        <w:kinsoku/>
        <w:wordWrap/>
        <w:overflowPunct/>
        <w:topLinePunct w:val="0"/>
        <w:autoSpaceDE/>
        <w:autoSpaceDN/>
        <w:bidi w:val="0"/>
        <w:adjustRightInd/>
        <w:snapToGrid/>
        <w:spacing w:line="540" w:lineRule="exact"/>
        <w:ind w:left="0" w:firstLine="640" w:firstLineChars="200"/>
        <w:textAlignment w:val="auto"/>
        <w:rPr>
          <w:rFonts w:hint="eastAsia" w:ascii="仿宋_GB2312" w:eastAsia="仿宋_GB2312" w:cs="仿宋_GB2312"/>
          <w:sz w:val="32"/>
          <w:szCs w:val="32"/>
        </w:rPr>
      </w:pPr>
      <w:r>
        <w:rPr>
          <w:rFonts w:hint="eastAsia" w:ascii="仿宋_GB2312" w:eastAsia="仿宋_GB2312" w:cs="仿宋_GB2312"/>
          <w:sz w:val="32"/>
          <w:szCs w:val="32"/>
        </w:rPr>
        <w:t>为聚力攻坚打造市场化、法治化、国际化一流营商环境，保障全</w:t>
      </w:r>
      <w:r>
        <w:rPr>
          <w:rFonts w:hint="eastAsia" w:ascii="仿宋_GB2312" w:eastAsia="仿宋_GB2312" w:cs="仿宋_GB2312"/>
          <w:sz w:val="32"/>
          <w:szCs w:val="32"/>
          <w:lang w:val="en-US" w:eastAsia="zh-CN"/>
        </w:rPr>
        <w:t>县</w:t>
      </w:r>
      <w:r>
        <w:rPr>
          <w:rFonts w:hint="eastAsia" w:ascii="仿宋_GB2312" w:eastAsia="仿宋_GB2312" w:cs="仿宋_GB2312"/>
          <w:sz w:val="32"/>
          <w:szCs w:val="32"/>
        </w:rPr>
        <w:t>高水平开放高质量发展，制定本实施方案。</w:t>
      </w:r>
    </w:p>
    <w:p w14:paraId="5DFE70B0">
      <w:pPr>
        <w:keepNext w:val="0"/>
        <w:keepLines w:val="0"/>
        <w:pageBreakBefore w:val="0"/>
        <w:widowControl w:val="0"/>
        <w:kinsoku/>
        <w:wordWrap/>
        <w:overflowPunct/>
        <w:topLinePunct w:val="0"/>
        <w:autoSpaceDE/>
        <w:autoSpaceDN/>
        <w:adjustRightInd/>
        <w:snapToGrid/>
        <w:spacing w:line="540" w:lineRule="exact"/>
        <w:ind w:left="0" w:firstLine="640" w:firstLineChars="200"/>
        <w:rPr>
          <w:rFonts w:hint="eastAsia" w:ascii="黑体" w:eastAsia="黑体" w:cs="黑体"/>
          <w:szCs w:val="32"/>
        </w:rPr>
      </w:pPr>
      <w:r>
        <w:rPr>
          <w:rFonts w:hint="eastAsia" w:ascii="黑体" w:eastAsia="黑体" w:cs="黑体"/>
          <w:szCs w:val="32"/>
        </w:rPr>
        <w:t>一、攻坚目标</w:t>
      </w:r>
    </w:p>
    <w:p w14:paraId="5AF6DC72">
      <w:pPr>
        <w:keepNext w:val="0"/>
        <w:keepLines w:val="0"/>
        <w:pageBreakBefore w:val="0"/>
        <w:widowControl w:val="0"/>
        <w:kinsoku/>
        <w:wordWrap/>
        <w:overflowPunct/>
        <w:topLinePunct w:val="0"/>
        <w:autoSpaceDE/>
        <w:autoSpaceDN/>
        <w:bidi w:val="0"/>
        <w:adjustRightInd/>
        <w:snapToGrid/>
        <w:spacing w:line="540" w:lineRule="exact"/>
        <w:ind w:left="0" w:firstLine="616" w:firstLineChars="200"/>
        <w:textAlignment w:val="auto"/>
        <w:rPr>
          <w:rFonts w:hint="eastAsia" w:ascii="仿宋_GB2312" w:eastAsia="仿宋_GB2312" w:cs="仿宋_GB2312"/>
          <w:spacing w:val="-6"/>
          <w:sz w:val="32"/>
          <w:szCs w:val="32"/>
          <w:lang w:val="en-US" w:eastAsia="zh-CN"/>
        </w:rPr>
      </w:pPr>
      <w:r>
        <w:rPr>
          <w:rFonts w:hint="eastAsia" w:ascii="仿宋_GB2312" w:eastAsia="仿宋_GB2312" w:cs="仿宋_GB2312"/>
          <w:spacing w:val="-6"/>
          <w:sz w:val="32"/>
          <w:szCs w:val="32"/>
        </w:rPr>
        <w:t>聚焦</w:t>
      </w:r>
      <w:r>
        <w:rPr>
          <w:rFonts w:hint="eastAsia" w:ascii="仿宋_GB2312" w:eastAsia="仿宋_GB2312" w:cs="仿宋_GB2312"/>
          <w:spacing w:val="-6"/>
          <w:sz w:val="32"/>
          <w:szCs w:val="32"/>
          <w:lang w:eastAsia="zh-CN"/>
        </w:rPr>
        <w:t>“</w:t>
      </w:r>
      <w:r>
        <w:rPr>
          <w:rFonts w:hint="eastAsia" w:ascii="仿宋_GB2312" w:eastAsia="仿宋_GB2312" w:cs="仿宋_GB2312"/>
          <w:spacing w:val="-6"/>
          <w:sz w:val="32"/>
          <w:szCs w:val="32"/>
          <w:lang w:val="en-US" w:eastAsia="zh-CN"/>
        </w:rPr>
        <w:t>三化</w:t>
      </w:r>
      <w:r>
        <w:rPr>
          <w:rFonts w:hint="eastAsia" w:ascii="仿宋_GB2312" w:eastAsia="仿宋_GB2312" w:cs="仿宋_GB2312"/>
          <w:spacing w:val="-6"/>
          <w:sz w:val="32"/>
          <w:szCs w:val="32"/>
          <w:lang w:eastAsia="zh-CN"/>
        </w:rPr>
        <w:t>”</w:t>
      </w:r>
      <w:r>
        <w:rPr>
          <w:rFonts w:hint="eastAsia" w:ascii="仿宋_GB2312" w:eastAsia="仿宋_GB2312" w:cs="仿宋_GB2312"/>
          <w:spacing w:val="-6"/>
          <w:sz w:val="32"/>
          <w:szCs w:val="32"/>
          <w:lang w:val="en-US" w:eastAsia="zh-CN"/>
        </w:rPr>
        <w:t>一流目标打好“攻坚战”，打造营商环境“升级版”，</w:t>
      </w:r>
      <w:r>
        <w:rPr>
          <w:rFonts w:hint="eastAsia" w:ascii="仿宋_GB2312" w:eastAsia="仿宋_GB2312" w:cs="仿宋_GB2312"/>
          <w:spacing w:val="-6"/>
          <w:sz w:val="32"/>
          <w:szCs w:val="32"/>
        </w:rPr>
        <w:t>着力解决</w:t>
      </w:r>
      <w:r>
        <w:rPr>
          <w:rFonts w:hint="eastAsia" w:ascii="仿宋_GB2312" w:eastAsia="仿宋_GB2312" w:cs="仿宋_GB2312"/>
          <w:spacing w:val="-6"/>
          <w:sz w:val="32"/>
          <w:szCs w:val="32"/>
          <w:lang w:val="en-US" w:eastAsia="zh-CN"/>
        </w:rPr>
        <w:t>营商环境</w:t>
      </w:r>
      <w:r>
        <w:rPr>
          <w:rFonts w:hint="eastAsia" w:ascii="仿宋_GB2312" w:eastAsia="仿宋_GB2312" w:cs="仿宋_GB2312"/>
          <w:spacing w:val="-6"/>
          <w:sz w:val="32"/>
          <w:szCs w:val="32"/>
        </w:rPr>
        <w:t>痛点、难</w:t>
      </w:r>
      <w:r>
        <w:rPr>
          <w:rFonts w:hint="eastAsia" w:ascii="仿宋_GB2312" w:eastAsia="仿宋_GB2312" w:cs="仿宋_GB2312"/>
          <w:color w:val="000000"/>
          <w:spacing w:val="-6"/>
          <w:sz w:val="32"/>
          <w:szCs w:val="32"/>
        </w:rPr>
        <w:t>点、淤点问题，推动经</w:t>
      </w:r>
      <w:r>
        <w:rPr>
          <w:rFonts w:hint="eastAsia" w:ascii="仿宋_GB2312" w:eastAsia="仿宋_GB2312" w:cs="仿宋_GB2312"/>
          <w:color w:val="000000"/>
          <w:spacing w:val="-6"/>
          <w:sz w:val="32"/>
          <w:szCs w:val="32"/>
          <w:lang w:val="en-US" w:eastAsia="zh-CN"/>
        </w:rPr>
        <w:t>营</w:t>
      </w:r>
      <w:r>
        <w:rPr>
          <w:rFonts w:hint="eastAsia" w:ascii="仿宋_GB2312" w:eastAsia="仿宋_GB2312" w:cs="仿宋_GB2312"/>
          <w:color w:val="000000"/>
          <w:spacing w:val="-6"/>
          <w:sz w:val="32"/>
          <w:szCs w:val="32"/>
        </w:rPr>
        <w:t>主体制度性交易、融资、用能、用工等企业综合运营成本进一步降低</w:t>
      </w:r>
      <w:r>
        <w:rPr>
          <w:rFonts w:hint="eastAsia" w:ascii="仿宋_GB2312" w:eastAsia="仿宋_GB2312" w:cs="仿宋_GB2312"/>
          <w:color w:val="000000"/>
          <w:spacing w:val="-6"/>
          <w:sz w:val="32"/>
          <w:szCs w:val="32"/>
          <w:lang w:eastAsia="zh-CN"/>
        </w:rPr>
        <w:t>，</w:t>
      </w:r>
      <w:r>
        <w:rPr>
          <w:rFonts w:hint="eastAsia" w:ascii="仿宋_GB2312" w:eastAsia="仿宋_GB2312" w:cs="仿宋_GB2312"/>
          <w:color w:val="000000"/>
          <w:spacing w:val="-6"/>
          <w:sz w:val="32"/>
          <w:szCs w:val="32"/>
        </w:rPr>
        <w:t>力争社会物流总费用占地区生产总值比重下降至</w:t>
      </w:r>
      <w:r>
        <w:rPr>
          <w:rFonts w:hint="eastAsia" w:ascii="仿宋_GB2312" w:eastAsia="仿宋_GB2312" w:cs="仿宋_GB2312"/>
          <w:color w:val="000000"/>
          <w:spacing w:val="-6"/>
          <w:sz w:val="32"/>
          <w:szCs w:val="32"/>
          <w:lang w:eastAsia="zh-CN"/>
        </w:rPr>
        <w:t>14</w:t>
      </w:r>
      <w:r>
        <w:rPr>
          <w:rFonts w:hint="eastAsia" w:ascii="仿宋_GB2312" w:eastAsia="仿宋_GB2312" w:cs="仿宋_GB2312"/>
          <w:color w:val="000000"/>
          <w:spacing w:val="-6"/>
          <w:sz w:val="32"/>
          <w:szCs w:val="32"/>
          <w:lang w:val="en-US" w:eastAsia="zh-CN"/>
        </w:rPr>
        <w:t>%</w:t>
      </w:r>
      <w:r>
        <w:rPr>
          <w:rFonts w:hint="eastAsia" w:ascii="仿宋_GB2312" w:eastAsia="仿宋_GB2312" w:cs="仿宋_GB2312"/>
          <w:color w:val="000000"/>
          <w:spacing w:val="-6"/>
          <w:sz w:val="32"/>
          <w:szCs w:val="32"/>
        </w:rPr>
        <w:t>以下</w:t>
      </w:r>
      <w:r>
        <w:rPr>
          <w:rFonts w:hint="eastAsia" w:ascii="仿宋_GB2312" w:eastAsia="仿宋_GB2312" w:cs="仿宋_GB2312"/>
          <w:color w:val="000000"/>
          <w:spacing w:val="-6"/>
          <w:sz w:val="32"/>
          <w:szCs w:val="32"/>
          <w:lang w:eastAsia="zh-CN"/>
        </w:rPr>
        <w:t>，</w:t>
      </w:r>
      <w:r>
        <w:rPr>
          <w:rFonts w:hint="eastAsia" w:ascii="仿宋_GB2312" w:eastAsia="仿宋_GB2312" w:cs="仿宋_GB2312"/>
          <w:color w:val="000000"/>
          <w:spacing w:val="-6"/>
          <w:sz w:val="32"/>
          <w:szCs w:val="32"/>
        </w:rPr>
        <w:t>行</w:t>
      </w:r>
      <w:r>
        <w:rPr>
          <w:rFonts w:hint="eastAsia" w:ascii="仿宋_GB2312" w:eastAsia="仿宋_GB2312" w:cs="仿宋_GB2312"/>
          <w:spacing w:val="-6"/>
          <w:sz w:val="32"/>
          <w:szCs w:val="32"/>
        </w:rPr>
        <w:t>政执法检查“扫码入企、联码督查”实现全</w:t>
      </w:r>
      <w:r>
        <w:rPr>
          <w:rFonts w:hint="eastAsia" w:ascii="仿宋_GB2312" w:eastAsia="仿宋_GB2312" w:cs="仿宋_GB2312"/>
          <w:spacing w:val="-6"/>
          <w:sz w:val="32"/>
          <w:szCs w:val="32"/>
          <w:lang w:val="en-US" w:eastAsia="zh-CN"/>
        </w:rPr>
        <w:t>县</w:t>
      </w:r>
      <w:r>
        <w:rPr>
          <w:rFonts w:hint="eastAsia" w:ascii="仿宋_GB2312" w:eastAsia="仿宋_GB2312" w:cs="仿宋_GB2312"/>
          <w:spacing w:val="-6"/>
          <w:sz w:val="32"/>
          <w:szCs w:val="32"/>
        </w:rPr>
        <w:t>全覆盖</w:t>
      </w:r>
      <w:r>
        <w:rPr>
          <w:rFonts w:hint="eastAsia" w:ascii="仿宋_GB2312" w:eastAsia="仿宋_GB2312" w:cs="仿宋_GB2312"/>
          <w:spacing w:val="-6"/>
          <w:sz w:val="32"/>
          <w:szCs w:val="32"/>
          <w:lang w:eastAsia="zh-CN"/>
        </w:rPr>
        <w:t>，</w:t>
      </w:r>
      <w:r>
        <w:rPr>
          <w:rFonts w:hint="eastAsia" w:ascii="仿宋_GB2312" w:eastAsia="仿宋_GB2312" w:cs="仿宋_GB2312"/>
          <w:spacing w:val="-6"/>
          <w:sz w:val="32"/>
          <w:szCs w:val="32"/>
        </w:rPr>
        <w:t>政务服务</w:t>
      </w:r>
      <w:r>
        <w:rPr>
          <w:rFonts w:hint="eastAsia" w:ascii="仿宋_GB2312" w:eastAsia="仿宋_GB2312" w:cs="仿宋_GB2312"/>
          <w:spacing w:val="-6"/>
          <w:sz w:val="32"/>
          <w:szCs w:val="32"/>
          <w:lang w:eastAsia="zh-CN"/>
        </w:rPr>
        <w:t>“一网通办”</w:t>
      </w:r>
      <w:r>
        <w:rPr>
          <w:rFonts w:hint="eastAsia" w:ascii="仿宋_GB2312" w:eastAsia="仿宋_GB2312" w:cs="仿宋_GB2312"/>
          <w:spacing w:val="-6"/>
          <w:sz w:val="32"/>
          <w:szCs w:val="32"/>
        </w:rPr>
        <w:t>率力争</w:t>
      </w:r>
      <w:r>
        <w:rPr>
          <w:rFonts w:hint="eastAsia" w:ascii="仿宋_GB2312" w:eastAsia="仿宋_GB2312" w:cs="仿宋_GB2312"/>
          <w:spacing w:val="-6"/>
          <w:sz w:val="32"/>
          <w:szCs w:val="32"/>
          <w:lang w:eastAsia="zh-CN"/>
        </w:rPr>
        <w:t>达到</w:t>
      </w:r>
      <w:r>
        <w:rPr>
          <w:rFonts w:hint="eastAsia" w:ascii="仿宋_GB2312" w:eastAsia="仿宋_GB2312" w:cs="仿宋_GB2312"/>
          <w:spacing w:val="-6"/>
          <w:sz w:val="32"/>
          <w:szCs w:val="32"/>
          <w:lang w:val="en-US" w:eastAsia="zh-CN"/>
        </w:rPr>
        <w:t>90</w:t>
      </w:r>
      <w:r>
        <w:rPr>
          <w:rFonts w:hint="eastAsia" w:ascii="仿宋_GB2312" w:eastAsia="仿宋_GB2312" w:cs="仿宋_GB2312"/>
          <w:spacing w:val="-6"/>
          <w:sz w:val="32"/>
          <w:szCs w:val="32"/>
        </w:rPr>
        <w:t>%以上</w:t>
      </w:r>
      <w:r>
        <w:rPr>
          <w:rFonts w:hint="eastAsia" w:ascii="仿宋_GB2312" w:eastAsia="仿宋_GB2312" w:cs="仿宋_GB2312"/>
          <w:spacing w:val="-6"/>
          <w:sz w:val="32"/>
          <w:szCs w:val="32"/>
          <w:lang w:eastAsia="zh-CN"/>
        </w:rPr>
        <w:t>，</w:t>
      </w:r>
      <w:r>
        <w:rPr>
          <w:rFonts w:hint="eastAsia" w:ascii="仿宋_GB2312" w:eastAsia="仿宋_GB2312" w:cs="仿宋_GB2312"/>
          <w:spacing w:val="-6"/>
          <w:sz w:val="32"/>
          <w:szCs w:val="32"/>
          <w:lang w:val="en-US" w:eastAsia="zh-CN"/>
        </w:rPr>
        <w:t>企业群众获得感、满意度持续提升。</w:t>
      </w:r>
    </w:p>
    <w:p w14:paraId="24AD7C8A">
      <w:pPr>
        <w:keepNext w:val="0"/>
        <w:keepLines w:val="0"/>
        <w:pageBreakBefore w:val="0"/>
        <w:widowControl w:val="0"/>
        <w:kinsoku/>
        <w:wordWrap/>
        <w:overflowPunct/>
        <w:topLinePunct w:val="0"/>
        <w:autoSpaceDE/>
        <w:autoSpaceDN/>
        <w:bidi w:val="0"/>
        <w:adjustRightInd/>
        <w:snapToGrid/>
        <w:spacing w:line="540" w:lineRule="exact"/>
        <w:ind w:left="0" w:firstLine="640" w:firstLineChars="200"/>
        <w:textAlignment w:val="auto"/>
        <w:rPr>
          <w:rFonts w:hint="eastAsia" w:ascii="黑体" w:eastAsia="黑体" w:cs="黑体"/>
          <w:sz w:val="32"/>
          <w:szCs w:val="32"/>
        </w:rPr>
      </w:pPr>
      <w:r>
        <w:rPr>
          <w:rFonts w:hint="eastAsia" w:ascii="黑体" w:eastAsia="黑体" w:cs="黑体"/>
          <w:sz w:val="32"/>
          <w:szCs w:val="32"/>
        </w:rPr>
        <w:t>二、攻坚任务</w:t>
      </w:r>
    </w:p>
    <w:p w14:paraId="1C7C9227">
      <w:pPr>
        <w:keepNext w:val="0"/>
        <w:keepLines w:val="0"/>
        <w:pageBreakBefore w:val="0"/>
        <w:widowControl w:val="0"/>
        <w:kinsoku/>
        <w:wordWrap/>
        <w:overflowPunct/>
        <w:topLinePunct w:val="0"/>
        <w:autoSpaceDE/>
        <w:autoSpaceDN/>
        <w:adjustRightInd/>
        <w:snapToGrid/>
        <w:spacing w:line="540" w:lineRule="exact"/>
        <w:ind w:left="0" w:firstLine="640" w:firstLineChars="200"/>
        <w:rPr>
          <w:rFonts w:hint="eastAsia" w:ascii="楷体_GB2312" w:eastAsia="楷体_GB2312" w:cs="楷体_GB2312"/>
          <w:szCs w:val="32"/>
        </w:rPr>
      </w:pPr>
      <w:r>
        <w:rPr>
          <w:rFonts w:hint="eastAsia" w:ascii="楷体_GB2312" w:eastAsia="楷体_GB2312" w:cs="楷体_GB2312"/>
          <w:szCs w:val="32"/>
        </w:rPr>
        <w:t>（一）着力优市场促公平</w:t>
      </w:r>
    </w:p>
    <w:p w14:paraId="349C8F65">
      <w:pPr>
        <w:keepNext w:val="0"/>
        <w:keepLines w:val="0"/>
        <w:pageBreakBefore w:val="0"/>
        <w:widowControl w:val="0"/>
        <w:kinsoku/>
        <w:wordWrap/>
        <w:overflowPunct/>
        <w:topLinePunct w:val="0"/>
        <w:autoSpaceDE/>
        <w:autoSpaceDN/>
        <w:bidi w:val="0"/>
        <w:adjustRightInd/>
        <w:snapToGrid/>
        <w:spacing w:line="540" w:lineRule="exact"/>
        <w:ind w:left="0" w:firstLine="643" w:firstLineChars="200"/>
        <w:textAlignment w:val="auto"/>
        <w:rPr>
          <w:rFonts w:hint="eastAsia" w:ascii="仿宋_GB2312" w:eastAsia="仿宋_GB2312" w:cs="楷体_GB2312"/>
          <w:b w:val="0"/>
          <w:bCs w:val="0"/>
          <w:sz w:val="32"/>
          <w:szCs w:val="32"/>
        </w:rPr>
      </w:pPr>
      <w:r>
        <w:rPr>
          <w:rFonts w:hint="eastAsia" w:ascii="仿宋_GB2312" w:eastAsia="仿宋_GB2312" w:cs="仿宋_GB2312"/>
          <w:b/>
          <w:bCs/>
          <w:sz w:val="32"/>
          <w:szCs w:val="32"/>
        </w:rPr>
        <w:t>1.促进公平竞争。</w:t>
      </w:r>
      <w:r>
        <w:rPr>
          <w:rFonts w:hint="eastAsia" w:ascii="仿宋_GB2312" w:eastAsia="仿宋_GB2312" w:cs="仿宋_GB2312"/>
          <w:sz w:val="32"/>
          <w:szCs w:val="32"/>
        </w:rPr>
        <w:t>加强公平竞争审查刚性约束，探索建立跨区域、跨部门的公平竞争审查工作机制。强化公平竞争审查工作监督保障，健全公平竞争审查抽查、举报处理、督查</w:t>
      </w:r>
      <w:r>
        <w:rPr>
          <w:rFonts w:hint="eastAsia" w:ascii="仿宋_GB2312" w:eastAsia="仿宋_GB2312" w:cs="仿宋_GB2312"/>
          <w:sz w:val="32"/>
          <w:szCs w:val="32"/>
          <w:lang w:eastAsia="zh-CN"/>
        </w:rPr>
        <w:t>、约谈</w:t>
      </w:r>
      <w:r>
        <w:rPr>
          <w:rFonts w:hint="eastAsia" w:ascii="仿宋_GB2312" w:eastAsia="仿宋_GB2312" w:cs="仿宋_GB2312"/>
          <w:sz w:val="32"/>
          <w:szCs w:val="32"/>
        </w:rPr>
        <w:t>等机制。深化不当市场干预行为专项整治。积极配合上级部门推行反垄断监管执法，推进民生领域反垄断执法专项行动，重点查处针对中小企业的限定交易、附加不合理交易条件等垄断行为。</w:t>
      </w:r>
      <w:r>
        <w:rPr>
          <w:rFonts w:hint="eastAsia" w:ascii="仿宋_GB2312" w:eastAsia="仿宋_GB2312" w:cs="楷体_GB2312"/>
          <w:b w:val="0"/>
          <w:bCs w:val="0"/>
          <w:sz w:val="32"/>
          <w:szCs w:val="32"/>
          <w:lang w:eastAsia="zh-CN"/>
        </w:rPr>
        <w:t>（县市场监管局</w:t>
      </w:r>
      <w:r>
        <w:rPr>
          <w:rFonts w:hint="eastAsia" w:ascii="仿宋_GB2312" w:eastAsia="仿宋_GB2312" w:cs="楷体_GB2312"/>
          <w:b w:val="0"/>
          <w:bCs w:val="0"/>
          <w:sz w:val="32"/>
          <w:szCs w:val="32"/>
        </w:rPr>
        <w:t>牵头，</w:t>
      </w:r>
      <w:r>
        <w:rPr>
          <w:rFonts w:hint="eastAsia" w:ascii="仿宋_GB2312" w:eastAsia="仿宋_GB2312" w:cs="楷体_GB2312"/>
          <w:b w:val="0"/>
          <w:bCs w:val="0"/>
          <w:sz w:val="32"/>
          <w:szCs w:val="32"/>
          <w:lang w:eastAsia="zh-CN"/>
        </w:rPr>
        <w:t>县司法局</w:t>
      </w:r>
      <w:r>
        <w:rPr>
          <w:rFonts w:hint="eastAsia" w:ascii="仿宋_GB2312" w:eastAsia="仿宋_GB2312" w:cs="楷体_GB2312"/>
          <w:b w:val="0"/>
          <w:bCs w:val="0"/>
          <w:sz w:val="32"/>
          <w:szCs w:val="32"/>
        </w:rPr>
        <w:t>、</w:t>
      </w:r>
      <w:r>
        <w:rPr>
          <w:rFonts w:hint="eastAsia" w:ascii="仿宋_GB2312" w:eastAsia="仿宋_GB2312" w:cs="楷体_GB2312"/>
          <w:b w:val="0"/>
          <w:bCs w:val="0"/>
          <w:sz w:val="32"/>
          <w:szCs w:val="32"/>
          <w:lang w:eastAsia="zh-CN"/>
        </w:rPr>
        <w:t>县发展改革局等按职能分工负责）</w:t>
      </w:r>
    </w:p>
    <w:p w14:paraId="7822BC92">
      <w:pPr>
        <w:keepNext w:val="0"/>
        <w:keepLines w:val="0"/>
        <w:pageBreakBefore w:val="0"/>
        <w:widowControl w:val="0"/>
        <w:kinsoku/>
        <w:wordWrap/>
        <w:overflowPunct/>
        <w:topLinePunct w:val="0"/>
        <w:autoSpaceDE/>
        <w:autoSpaceDN/>
        <w:bidi w:val="0"/>
        <w:adjustRightInd/>
        <w:snapToGrid/>
        <w:spacing w:line="540" w:lineRule="exact"/>
        <w:ind w:left="0" w:firstLine="643" w:firstLineChars="200"/>
        <w:textAlignment w:val="auto"/>
        <w:rPr>
          <w:rFonts w:hint="eastAsia" w:ascii="仿宋_GB2312" w:eastAsia="仿宋_GB2312" w:cs="楷体_GB2312"/>
          <w:sz w:val="32"/>
          <w:szCs w:val="32"/>
        </w:rPr>
      </w:pPr>
      <w:r>
        <w:rPr>
          <w:rFonts w:hint="eastAsia" w:ascii="仿宋_GB2312" w:eastAsia="仿宋_GB2312" w:cs="仿宋_GB2312"/>
          <w:b/>
          <w:bCs/>
          <w:sz w:val="32"/>
          <w:szCs w:val="32"/>
        </w:rPr>
        <w:t>2.优化准入退出。</w:t>
      </w:r>
      <w:r>
        <w:rPr>
          <w:rFonts w:hint="eastAsia" w:ascii="仿宋_GB2312" w:eastAsia="仿宋_GB2312" w:cs="仿宋_GB2312"/>
          <w:sz w:val="32"/>
          <w:szCs w:val="32"/>
        </w:rPr>
        <w:t>落实市场准入负面清单制度，开展市场准入效能评估。探索将一个行业准入涉及的多张许可证整合为一张行业综合许可证。深化注册资本认缴登记制度改革，实行依法按期认缴。加快经营主体注销网上一体化平台建设，完善部门间数据共享、业务协同工作机制，深入推进企业注销登记“一件事”。深化破产府院联动，解决破产处置税务办理、不动产登记、重整企业信用修复等难题。</w:t>
      </w:r>
      <w:r>
        <w:rPr>
          <w:rFonts w:hint="eastAsia" w:ascii="仿宋_GB2312" w:eastAsia="仿宋_GB2312" w:cs="楷体_GB2312"/>
          <w:sz w:val="32"/>
          <w:szCs w:val="32"/>
          <w:lang w:eastAsia="zh-CN"/>
        </w:rPr>
        <w:t>（县发展改革局</w:t>
      </w:r>
      <w:r>
        <w:rPr>
          <w:rFonts w:hint="eastAsia" w:ascii="仿宋_GB2312" w:eastAsia="仿宋_GB2312" w:cs="楷体_GB2312"/>
          <w:sz w:val="32"/>
          <w:szCs w:val="32"/>
        </w:rPr>
        <w:t>、</w:t>
      </w:r>
      <w:r>
        <w:rPr>
          <w:rFonts w:hint="eastAsia" w:ascii="仿宋_GB2312" w:eastAsia="仿宋_GB2312" w:cs="楷体_GB2312"/>
          <w:sz w:val="32"/>
          <w:szCs w:val="32"/>
          <w:lang w:eastAsia="zh-CN"/>
        </w:rPr>
        <w:t>县市场监管局</w:t>
      </w:r>
      <w:r>
        <w:rPr>
          <w:rFonts w:hint="eastAsia" w:ascii="仿宋_GB2312" w:eastAsia="仿宋_GB2312" w:cs="楷体_GB2312"/>
          <w:sz w:val="32"/>
          <w:szCs w:val="32"/>
        </w:rPr>
        <w:t>、</w:t>
      </w:r>
      <w:r>
        <w:rPr>
          <w:rFonts w:hint="eastAsia" w:ascii="仿宋_GB2312" w:eastAsia="仿宋_GB2312" w:cs="楷体_GB2312"/>
          <w:sz w:val="32"/>
          <w:szCs w:val="32"/>
          <w:lang w:eastAsia="zh-CN"/>
        </w:rPr>
        <w:t>县政务服务中心</w:t>
      </w:r>
      <w:r>
        <w:rPr>
          <w:rFonts w:hint="eastAsia" w:ascii="仿宋_GB2312" w:eastAsia="仿宋_GB2312" w:cs="楷体_GB2312"/>
          <w:sz w:val="32"/>
          <w:szCs w:val="32"/>
        </w:rPr>
        <w:t>、</w:t>
      </w:r>
      <w:r>
        <w:rPr>
          <w:rFonts w:hint="eastAsia" w:ascii="仿宋_GB2312" w:eastAsia="仿宋_GB2312" w:cs="楷体_GB2312"/>
          <w:sz w:val="32"/>
          <w:szCs w:val="32"/>
          <w:lang w:eastAsia="zh-CN"/>
        </w:rPr>
        <w:t>县人民法院</w:t>
      </w:r>
      <w:r>
        <w:rPr>
          <w:rFonts w:hint="eastAsia" w:ascii="仿宋_GB2312" w:eastAsia="仿宋_GB2312" w:cs="楷体_GB2312"/>
          <w:sz w:val="32"/>
          <w:szCs w:val="32"/>
        </w:rPr>
        <w:t>、</w:t>
      </w:r>
      <w:r>
        <w:rPr>
          <w:rFonts w:hint="eastAsia" w:ascii="仿宋_GB2312" w:eastAsia="仿宋_GB2312" w:cs="楷体_GB2312"/>
          <w:sz w:val="32"/>
          <w:szCs w:val="32"/>
          <w:lang w:eastAsia="zh-CN"/>
        </w:rPr>
        <w:t>国家税务总局沅陵县税务局</w:t>
      </w:r>
      <w:r>
        <w:rPr>
          <w:rFonts w:hint="eastAsia" w:ascii="仿宋_GB2312" w:eastAsia="仿宋_GB2312" w:cs="楷体_GB2312"/>
          <w:sz w:val="32"/>
          <w:szCs w:val="32"/>
        </w:rPr>
        <w:t>、</w:t>
      </w:r>
      <w:r>
        <w:rPr>
          <w:rFonts w:hint="eastAsia" w:ascii="仿宋_GB2312" w:eastAsia="仿宋_GB2312" w:cs="楷体_GB2312"/>
          <w:sz w:val="32"/>
          <w:szCs w:val="32"/>
          <w:lang w:eastAsia="zh-CN"/>
        </w:rPr>
        <w:t>县自然资源局</w:t>
      </w:r>
      <w:r>
        <w:rPr>
          <w:rFonts w:hint="eastAsia" w:ascii="仿宋_GB2312" w:eastAsia="仿宋_GB2312" w:cs="楷体_GB2312"/>
          <w:sz w:val="32"/>
          <w:szCs w:val="32"/>
        </w:rPr>
        <w:t>等按职能分工负责</w:t>
      </w:r>
      <w:r>
        <w:rPr>
          <w:rFonts w:hint="eastAsia" w:ascii="仿宋_GB2312" w:eastAsia="仿宋_GB2312" w:cs="楷体_GB2312"/>
          <w:sz w:val="32"/>
          <w:szCs w:val="32"/>
          <w:lang w:eastAsia="zh-CN"/>
        </w:rPr>
        <w:t>）</w:t>
      </w:r>
    </w:p>
    <w:p w14:paraId="4E6B3907">
      <w:pPr>
        <w:keepNext w:val="0"/>
        <w:keepLines w:val="0"/>
        <w:pageBreakBefore w:val="0"/>
        <w:widowControl w:val="0"/>
        <w:kinsoku/>
        <w:wordWrap/>
        <w:overflowPunct/>
        <w:topLinePunct w:val="0"/>
        <w:autoSpaceDE/>
        <w:autoSpaceDN/>
        <w:bidi w:val="0"/>
        <w:adjustRightInd/>
        <w:snapToGrid/>
        <w:spacing w:line="540" w:lineRule="exact"/>
        <w:ind w:left="0" w:firstLine="643" w:firstLineChars="200"/>
        <w:textAlignment w:val="auto"/>
        <w:rPr>
          <w:rFonts w:hint="eastAsia" w:ascii="仿宋_GB2312" w:eastAsia="仿宋_GB2312" w:cs="楷体_GB2312"/>
          <w:sz w:val="32"/>
          <w:szCs w:val="32"/>
        </w:rPr>
      </w:pPr>
      <w:r>
        <w:rPr>
          <w:rFonts w:hint="eastAsia" w:ascii="仿宋_GB2312" w:eastAsia="仿宋_GB2312" w:cs="仿宋_GB2312"/>
          <w:b/>
          <w:bCs/>
          <w:sz w:val="32"/>
          <w:szCs w:val="32"/>
        </w:rPr>
        <w:t>3.优化公共资源交易环境。</w:t>
      </w:r>
      <w:r>
        <w:rPr>
          <w:rFonts w:hint="eastAsia" w:ascii="仿宋_GB2312" w:eastAsia="仿宋_GB2312" w:cs="仿宋_GB2312"/>
          <w:sz w:val="32"/>
          <w:szCs w:val="32"/>
        </w:rPr>
        <w:t>营造</w:t>
      </w:r>
      <w:r>
        <w:rPr>
          <w:rFonts w:hint="eastAsia" w:ascii="仿宋_GB2312" w:eastAsia="仿宋_GB2312" w:cs="仿宋_GB2312"/>
          <w:sz w:val="32"/>
          <w:szCs w:val="32"/>
          <w:lang w:val="en-US" w:eastAsia="zh-CN"/>
        </w:rPr>
        <w:t>阳光透明、便捷高效</w:t>
      </w:r>
      <w:r>
        <w:rPr>
          <w:rFonts w:hint="eastAsia" w:ascii="仿宋_GB2312" w:eastAsia="仿宋_GB2312" w:cs="仿宋_GB2312"/>
          <w:sz w:val="32"/>
          <w:szCs w:val="32"/>
        </w:rPr>
        <w:t>的招标投标市场环境，</w:t>
      </w:r>
      <w:r>
        <w:rPr>
          <w:rFonts w:hint="eastAsia" w:ascii="仿宋_GB2312" w:eastAsia="仿宋_GB2312" w:cs="仿宋_GB2312"/>
          <w:sz w:val="32"/>
          <w:szCs w:val="32"/>
          <w:lang w:val="en-US" w:eastAsia="zh-CN"/>
        </w:rPr>
        <w:t>依据</w:t>
      </w:r>
      <w:r>
        <w:rPr>
          <w:rFonts w:hint="eastAsia" w:ascii="仿宋_GB2312" w:eastAsia="仿宋_GB2312" w:cs="仿宋_GB2312"/>
          <w:sz w:val="32"/>
          <w:szCs w:val="32"/>
        </w:rPr>
        <w:t>《湖南省公共资源交易数字化、模块化招标文件范本框架导引及编制导则》规定。强化公共资源交易领域信用体系建设</w:t>
      </w:r>
      <w:r>
        <w:rPr>
          <w:rFonts w:hint="eastAsia" w:ascii="仿宋_GB2312" w:eastAsia="仿宋_GB2312" w:cs="仿宋_GB2312"/>
          <w:sz w:val="32"/>
          <w:szCs w:val="32"/>
          <w:lang w:eastAsia="zh-CN"/>
        </w:rPr>
        <w:t>。</w:t>
      </w:r>
      <w:r>
        <w:rPr>
          <w:rFonts w:hint="eastAsia" w:ascii="仿宋_GB2312" w:eastAsia="仿宋_GB2312" w:cs="仿宋_GB2312"/>
          <w:sz w:val="32"/>
          <w:szCs w:val="32"/>
        </w:rPr>
        <w:t>全面</w:t>
      </w:r>
      <w:r>
        <w:rPr>
          <w:rFonts w:hint="eastAsia" w:ascii="仿宋_GB2312" w:eastAsia="仿宋_GB2312" w:cs="仿宋_GB2312"/>
          <w:sz w:val="32"/>
          <w:szCs w:val="32"/>
          <w:lang w:val="en-US" w:eastAsia="zh-CN"/>
        </w:rPr>
        <w:t>实现电子</w:t>
      </w:r>
      <w:r>
        <w:rPr>
          <w:rFonts w:hint="eastAsia" w:ascii="仿宋_GB2312" w:eastAsia="仿宋_GB2312" w:cs="仿宋_GB2312"/>
          <w:sz w:val="32"/>
          <w:szCs w:val="32"/>
        </w:rPr>
        <w:t>保函替代保证金</w:t>
      </w:r>
      <w:r>
        <w:rPr>
          <w:rFonts w:hint="eastAsia" w:ascii="仿宋_GB2312" w:eastAsia="仿宋_GB2312" w:cs="仿宋_GB2312"/>
          <w:sz w:val="32"/>
          <w:szCs w:val="32"/>
          <w:lang w:eastAsia="zh-CN"/>
        </w:rPr>
        <w:t>，</w:t>
      </w:r>
      <w:r>
        <w:rPr>
          <w:rFonts w:hint="eastAsia" w:ascii="仿宋_GB2312" w:eastAsia="仿宋_GB2312" w:cs="仿宋_GB2312"/>
          <w:sz w:val="32"/>
          <w:szCs w:val="32"/>
        </w:rPr>
        <w:t>实现数字证书</w:t>
      </w:r>
      <w:r>
        <w:rPr>
          <w:rFonts w:hint="eastAsia" w:ascii="仿宋_GB2312" w:eastAsia="仿宋_GB2312" w:cs="仿宋_GB2312"/>
          <w:sz w:val="32"/>
          <w:szCs w:val="32"/>
          <w:lang w:eastAsia="zh-CN"/>
        </w:rPr>
        <w:t>（</w:t>
      </w:r>
      <w:r>
        <w:rPr>
          <w:rFonts w:hint="eastAsia" w:ascii="仿宋_GB2312" w:eastAsia="仿宋_GB2312" w:cs="仿宋_GB2312"/>
          <w:sz w:val="32"/>
          <w:szCs w:val="32"/>
        </w:rPr>
        <w:t>CA</w:t>
      </w:r>
      <w:r>
        <w:rPr>
          <w:rFonts w:hint="eastAsia" w:ascii="仿宋_GB2312" w:eastAsia="仿宋_GB2312" w:cs="仿宋_GB2312"/>
          <w:sz w:val="32"/>
          <w:szCs w:val="32"/>
          <w:lang w:eastAsia="zh-CN"/>
        </w:rPr>
        <w:t>）</w:t>
      </w:r>
      <w:r>
        <w:rPr>
          <w:rFonts w:hint="eastAsia" w:ascii="仿宋_GB2312" w:eastAsia="仿宋_GB2312" w:cs="仿宋_GB2312"/>
          <w:sz w:val="32"/>
          <w:szCs w:val="32"/>
        </w:rPr>
        <w:t>全国互认，</w:t>
      </w:r>
      <w:r>
        <w:rPr>
          <w:rFonts w:hint="eastAsia" w:ascii="仿宋_GB2312" w:eastAsia="仿宋_GB2312" w:cs="仿宋_GB2312"/>
          <w:sz w:val="32"/>
          <w:szCs w:val="32"/>
          <w:lang w:val="en-US" w:eastAsia="zh-CN"/>
        </w:rPr>
        <w:t>持续</w:t>
      </w:r>
      <w:r>
        <w:rPr>
          <w:rFonts w:hint="eastAsia" w:ascii="仿宋_GB2312" w:eastAsia="仿宋_GB2312" w:cs="仿宋_GB2312"/>
          <w:sz w:val="32"/>
          <w:szCs w:val="32"/>
        </w:rPr>
        <w:t>推广使用电子营业执照，</w:t>
      </w:r>
      <w:r>
        <w:rPr>
          <w:rFonts w:hint="eastAsia" w:ascii="仿宋_GB2312" w:eastAsia="仿宋_GB2312" w:cs="仿宋_GB2312"/>
          <w:sz w:val="32"/>
          <w:szCs w:val="32"/>
          <w:lang w:val="en-US" w:eastAsia="zh-CN"/>
        </w:rPr>
        <w:t>持续</w:t>
      </w:r>
      <w:r>
        <w:rPr>
          <w:rFonts w:hint="eastAsia" w:ascii="仿宋_GB2312" w:eastAsia="仿宋_GB2312" w:cs="仿宋_GB2312"/>
          <w:sz w:val="32"/>
          <w:szCs w:val="32"/>
        </w:rPr>
        <w:t>推行跨市跨省远程异地评标。提高交易透明度，推行招标计划提前发布、合同签订及履约情况公示，扩大信息公示范围。</w:t>
      </w:r>
      <w:r>
        <w:rPr>
          <w:rFonts w:hint="eastAsia" w:ascii="仿宋_GB2312" w:eastAsia="仿宋_GB2312" w:cs="楷体_GB2312"/>
          <w:sz w:val="32"/>
          <w:szCs w:val="32"/>
          <w:lang w:eastAsia="zh-CN"/>
        </w:rPr>
        <w:t>（</w:t>
      </w:r>
      <w:r>
        <w:rPr>
          <w:rFonts w:hint="eastAsia" w:ascii="仿宋_GB2312" w:eastAsia="仿宋_GB2312" w:cs="楷体_GB2312"/>
          <w:sz w:val="32"/>
          <w:szCs w:val="32"/>
          <w:lang w:val="en-US" w:eastAsia="zh-CN"/>
        </w:rPr>
        <w:t>县</w:t>
      </w:r>
      <w:r>
        <w:rPr>
          <w:rFonts w:hint="eastAsia" w:ascii="仿宋_GB2312" w:eastAsia="仿宋_GB2312" w:cs="楷体_GB2312"/>
          <w:sz w:val="32"/>
          <w:szCs w:val="32"/>
          <w:lang w:eastAsia="zh-CN"/>
        </w:rPr>
        <w:t>发展改革局牵头，</w:t>
      </w:r>
      <w:r>
        <w:rPr>
          <w:rFonts w:hint="eastAsia" w:ascii="仿宋_GB2312" w:eastAsia="仿宋_GB2312" w:cs="楷体_GB2312"/>
          <w:sz w:val="32"/>
          <w:szCs w:val="32"/>
          <w:lang w:val="en-US" w:eastAsia="zh-CN"/>
        </w:rPr>
        <w:t>各</w:t>
      </w:r>
      <w:r>
        <w:rPr>
          <w:rFonts w:hint="eastAsia" w:ascii="仿宋_GB2312" w:eastAsia="仿宋_GB2312" w:cs="楷体_GB2312"/>
          <w:sz w:val="32"/>
          <w:szCs w:val="32"/>
          <w:lang w:eastAsia="zh-CN"/>
        </w:rPr>
        <w:t>行业主管部门按职能分工负责）</w:t>
      </w:r>
    </w:p>
    <w:p w14:paraId="2631BB64">
      <w:pPr>
        <w:keepNext w:val="0"/>
        <w:keepLines w:val="0"/>
        <w:pageBreakBefore w:val="0"/>
        <w:widowControl w:val="0"/>
        <w:kinsoku/>
        <w:wordWrap/>
        <w:overflowPunct/>
        <w:topLinePunct w:val="0"/>
        <w:autoSpaceDE/>
        <w:autoSpaceDN/>
        <w:bidi w:val="0"/>
        <w:adjustRightInd/>
        <w:snapToGrid/>
        <w:spacing w:line="540" w:lineRule="exact"/>
        <w:ind w:left="0" w:firstLine="619" w:firstLineChars="200"/>
        <w:textAlignment w:val="auto"/>
        <w:rPr>
          <w:rFonts w:hint="eastAsia" w:ascii="仿宋_GB2312" w:eastAsia="仿宋_GB2312" w:cs="楷体_GB2312"/>
          <w:sz w:val="32"/>
          <w:szCs w:val="32"/>
        </w:rPr>
      </w:pPr>
      <w:r>
        <w:rPr>
          <w:rFonts w:hint="eastAsia" w:ascii="仿宋_GB2312" w:eastAsia="仿宋_GB2312" w:cs="仿宋_GB2312"/>
          <w:b/>
          <w:bCs/>
          <w:spacing w:val="-6"/>
          <w:sz w:val="32"/>
          <w:szCs w:val="32"/>
          <w:lang w:val="en-US" w:eastAsia="zh-CN"/>
        </w:rPr>
        <w:t>4.促进民营经济发展。</w:t>
      </w:r>
      <w:r>
        <w:rPr>
          <w:rFonts w:hint="eastAsia" w:ascii="仿宋_GB2312" w:eastAsia="仿宋_GB2312" w:cs="仿宋_GB2312"/>
          <w:spacing w:val="-6"/>
          <w:sz w:val="32"/>
          <w:szCs w:val="32"/>
          <w:lang w:val="en-US" w:eastAsia="zh-CN"/>
        </w:rPr>
        <w:t>全面落实支持民营经济发展壮大若干政策措施，保障经营主体公平参与市场竞争、平等使用生产要素。完善促进民营经济发展制度机制，抓实促进民营经济发展“六个一”工作，健全民营企业融资支持政策和民营中小企业增信制度。推进基础设施等竞争性领域向民营企业公平开放，吸引更多民间资本参与交通、能源、农业等重大项目建设，促进民间投资稳定增长。培育壮大民营企业，推动更多民企上规模、上市。加强正面典型宣传推广，强化舆情引导，提振民营企业信心。尊重企业家主体地位，深入开展“企业家日”系列活动。完善多层次民营企业常态化沟通和问题解决机制，深化政企交流，全面构建亲清政商关系，打造问题诉求“一站式”解决模式。</w:t>
      </w:r>
      <w:r>
        <w:rPr>
          <w:rFonts w:hint="eastAsia" w:ascii="仿宋_GB2312" w:eastAsia="仿宋_GB2312" w:cs="楷体_GB2312"/>
          <w:spacing w:val="-6"/>
          <w:sz w:val="32"/>
          <w:szCs w:val="32"/>
          <w:lang w:eastAsia="zh-CN"/>
        </w:rPr>
        <w:t>（县发展改革局</w:t>
      </w:r>
      <w:r>
        <w:rPr>
          <w:rFonts w:hint="eastAsia" w:ascii="仿宋_GB2312" w:eastAsia="仿宋_GB2312" w:cs="楷体_GB2312"/>
          <w:spacing w:val="-6"/>
          <w:sz w:val="32"/>
          <w:szCs w:val="32"/>
        </w:rPr>
        <w:t>牵头，</w:t>
      </w:r>
      <w:r>
        <w:rPr>
          <w:rFonts w:hint="eastAsia" w:ascii="仿宋_GB2312" w:eastAsia="仿宋_GB2312" w:cs="楷体_GB2312"/>
          <w:spacing w:val="-6"/>
          <w:sz w:val="32"/>
          <w:szCs w:val="32"/>
          <w:lang w:val="en-US" w:eastAsia="zh-CN"/>
        </w:rPr>
        <w:t>县金改办</w:t>
      </w:r>
      <w:r>
        <w:rPr>
          <w:rFonts w:hint="eastAsia" w:ascii="仿宋_GB2312" w:eastAsia="仿宋_GB2312" w:cs="楷体_GB2312"/>
          <w:spacing w:val="-6"/>
          <w:sz w:val="32"/>
          <w:szCs w:val="32"/>
        </w:rPr>
        <w:t>、沅陵金融监管支局</w:t>
      </w:r>
      <w:r>
        <w:rPr>
          <w:rFonts w:hint="eastAsia" w:ascii="仿宋_GB2312" w:eastAsia="仿宋_GB2312" w:cs="楷体_GB2312"/>
          <w:spacing w:val="-6"/>
          <w:sz w:val="32"/>
          <w:szCs w:val="32"/>
          <w:lang w:eastAsia="zh-CN"/>
        </w:rPr>
        <w:t>、</w:t>
      </w:r>
      <w:r>
        <w:rPr>
          <w:rFonts w:hint="eastAsia" w:ascii="仿宋_GB2312" w:eastAsia="仿宋_GB2312" w:cs="楷体_GB2312"/>
          <w:spacing w:val="-6"/>
          <w:sz w:val="32"/>
          <w:szCs w:val="32"/>
          <w:lang w:val="en-US" w:eastAsia="zh-CN"/>
        </w:rPr>
        <w:t>县工商联</w:t>
      </w:r>
      <w:r>
        <w:rPr>
          <w:rFonts w:hint="eastAsia" w:ascii="仿宋_GB2312" w:eastAsia="仿宋_GB2312" w:cs="楷体_GB2312"/>
          <w:spacing w:val="-6"/>
          <w:sz w:val="32"/>
          <w:szCs w:val="32"/>
        </w:rPr>
        <w:t>等按职能分工负责</w:t>
      </w:r>
      <w:r>
        <w:rPr>
          <w:rFonts w:hint="eastAsia" w:ascii="仿宋_GB2312" w:eastAsia="仿宋_GB2312" w:cs="楷体_GB2312"/>
          <w:spacing w:val="-6"/>
          <w:sz w:val="32"/>
          <w:szCs w:val="32"/>
          <w:lang w:eastAsia="zh-CN"/>
        </w:rPr>
        <w:t>）</w:t>
      </w:r>
    </w:p>
    <w:p w14:paraId="745D93F8">
      <w:pPr>
        <w:keepNext w:val="0"/>
        <w:keepLines w:val="0"/>
        <w:pageBreakBefore w:val="0"/>
        <w:widowControl w:val="0"/>
        <w:kinsoku/>
        <w:wordWrap/>
        <w:overflowPunct/>
        <w:topLinePunct w:val="0"/>
        <w:autoSpaceDE/>
        <w:autoSpaceDN/>
        <w:adjustRightInd/>
        <w:snapToGrid/>
        <w:spacing w:line="540" w:lineRule="exact"/>
        <w:ind w:left="0" w:firstLine="640" w:firstLineChars="200"/>
        <w:rPr>
          <w:rFonts w:hint="eastAsia" w:ascii="楷体_GB2312" w:eastAsia="楷体_GB2312" w:cs="楷体_GB2312"/>
          <w:szCs w:val="32"/>
        </w:rPr>
      </w:pPr>
      <w:r>
        <w:rPr>
          <w:rFonts w:hint="eastAsia" w:ascii="楷体_GB2312" w:eastAsia="楷体_GB2312" w:cs="楷体_GB2312"/>
          <w:szCs w:val="32"/>
        </w:rPr>
        <w:t>（二）着力优化法治稳预期</w:t>
      </w:r>
    </w:p>
    <w:p w14:paraId="2F4D4373">
      <w:pPr>
        <w:keepNext w:val="0"/>
        <w:keepLines w:val="0"/>
        <w:pageBreakBefore w:val="0"/>
        <w:widowControl w:val="0"/>
        <w:kinsoku/>
        <w:wordWrap/>
        <w:overflowPunct/>
        <w:topLinePunct w:val="0"/>
        <w:autoSpaceDE/>
        <w:autoSpaceDN/>
        <w:bidi w:val="0"/>
        <w:adjustRightInd/>
        <w:snapToGrid/>
        <w:spacing w:line="540" w:lineRule="exact"/>
        <w:ind w:left="0" w:firstLine="643" w:firstLineChars="200"/>
        <w:textAlignment w:val="auto"/>
        <w:rPr>
          <w:rFonts w:hint="eastAsia" w:ascii="仿宋_GB2312" w:eastAsia="仿宋_GB2312" w:cs="楷体_GB2312"/>
          <w:sz w:val="32"/>
          <w:szCs w:val="32"/>
        </w:rPr>
      </w:pPr>
      <w:r>
        <w:rPr>
          <w:rFonts w:hint="eastAsia" w:ascii="仿宋_GB2312" w:eastAsia="仿宋_GB2312" w:cs="仿宋_GB2312"/>
          <w:b/>
          <w:bCs/>
          <w:sz w:val="32"/>
          <w:szCs w:val="32"/>
        </w:rPr>
        <w:t>1.强化法制保障。</w:t>
      </w:r>
      <w:r>
        <w:rPr>
          <w:rFonts w:hint="eastAsia" w:ascii="仿宋_GB2312" w:eastAsia="仿宋_GB2312" w:cs="仿宋_GB2312"/>
          <w:sz w:val="32"/>
          <w:szCs w:val="32"/>
        </w:rPr>
        <w:t>深</w:t>
      </w:r>
      <w:r>
        <w:rPr>
          <w:rFonts w:hint="eastAsia" w:ascii="仿宋_GB2312" w:eastAsia="仿宋_GB2312" w:cs="仿宋_GB2312"/>
          <w:spacing w:val="-6"/>
          <w:sz w:val="32"/>
          <w:szCs w:val="32"/>
        </w:rPr>
        <w:t>入开展《中华人民共和国民营经济促进法》《湖南省优化营商环境条例》《湖南省行政执法监督条例》等的宣传贯彻，开展普法宣传进机关、进政务窗口、进园区、进企业、进党校课堂等系列活动。制定落实优化营商环境2025年度重点任务。在部分</w:t>
      </w:r>
      <w:r>
        <w:rPr>
          <w:rFonts w:hint="eastAsia" w:ascii="仿宋_GB2312" w:eastAsia="仿宋_GB2312" w:cs="仿宋_GB2312"/>
          <w:spacing w:val="-6"/>
          <w:sz w:val="32"/>
          <w:szCs w:val="32"/>
          <w:lang w:val="en-US" w:eastAsia="zh-CN"/>
        </w:rPr>
        <w:t>县</w:t>
      </w:r>
      <w:r>
        <w:rPr>
          <w:rFonts w:hint="eastAsia" w:ascii="仿宋_GB2312" w:eastAsia="仿宋_GB2312" w:cs="仿宋_GB2312"/>
          <w:spacing w:val="-6"/>
          <w:sz w:val="32"/>
          <w:szCs w:val="32"/>
        </w:rPr>
        <w:t>直单位、园区开展营商环境改革创新试点，建立健全容错免责机制，鼓励各单位先行先试，带动全</w:t>
      </w:r>
      <w:r>
        <w:rPr>
          <w:rFonts w:hint="eastAsia" w:ascii="仿宋_GB2312" w:eastAsia="仿宋_GB2312" w:cs="仿宋_GB2312"/>
          <w:spacing w:val="-6"/>
          <w:sz w:val="32"/>
          <w:szCs w:val="32"/>
          <w:lang w:val="en-US" w:eastAsia="zh-CN"/>
        </w:rPr>
        <w:t>县</w:t>
      </w:r>
      <w:r>
        <w:rPr>
          <w:rFonts w:hint="eastAsia" w:ascii="仿宋_GB2312" w:eastAsia="仿宋_GB2312" w:cs="仿宋_GB2312"/>
          <w:spacing w:val="-6"/>
          <w:sz w:val="32"/>
          <w:szCs w:val="32"/>
        </w:rPr>
        <w:t>整体提升。积极组织</w:t>
      </w:r>
      <w:r>
        <w:rPr>
          <w:rFonts w:hint="eastAsia" w:ascii="仿宋_GB2312" w:eastAsia="仿宋_GB2312" w:cs="仿宋_GB2312"/>
          <w:spacing w:val="-6"/>
          <w:sz w:val="32"/>
          <w:szCs w:val="32"/>
          <w:lang w:val="en-US" w:eastAsia="zh-CN"/>
        </w:rPr>
        <w:t>县</w:t>
      </w:r>
      <w:r>
        <w:rPr>
          <w:rFonts w:hint="eastAsia" w:ascii="仿宋_GB2312" w:eastAsia="仿宋_GB2312" w:cs="仿宋_GB2312"/>
          <w:spacing w:val="-6"/>
          <w:sz w:val="32"/>
          <w:szCs w:val="32"/>
        </w:rPr>
        <w:t>直相关部门、园区参加全省营商环境评价，推动以评促改促优，力争全区营商环境提分进位。</w:t>
      </w:r>
      <w:r>
        <w:rPr>
          <w:rFonts w:hint="eastAsia" w:ascii="仿宋_GB2312" w:eastAsia="仿宋_GB2312" w:cs="楷体_GB2312"/>
          <w:sz w:val="32"/>
          <w:szCs w:val="32"/>
          <w:lang w:eastAsia="zh-CN"/>
        </w:rPr>
        <w:t>（县发展改革局</w:t>
      </w:r>
      <w:r>
        <w:rPr>
          <w:rFonts w:hint="eastAsia" w:ascii="仿宋_GB2312" w:eastAsia="仿宋_GB2312" w:cs="楷体_GB2312"/>
          <w:sz w:val="32"/>
          <w:szCs w:val="32"/>
        </w:rPr>
        <w:t>、</w:t>
      </w:r>
      <w:r>
        <w:rPr>
          <w:rFonts w:hint="eastAsia" w:ascii="仿宋_GB2312" w:eastAsia="仿宋_GB2312" w:cs="楷体_GB2312"/>
          <w:sz w:val="32"/>
          <w:szCs w:val="32"/>
          <w:lang w:eastAsia="zh-CN"/>
        </w:rPr>
        <w:t>县司法局</w:t>
      </w:r>
      <w:r>
        <w:rPr>
          <w:rFonts w:hint="eastAsia" w:ascii="仿宋_GB2312" w:eastAsia="仿宋_GB2312" w:cs="楷体_GB2312"/>
          <w:sz w:val="32"/>
          <w:szCs w:val="32"/>
        </w:rPr>
        <w:t>、</w:t>
      </w:r>
      <w:r>
        <w:rPr>
          <w:rFonts w:hint="eastAsia" w:ascii="仿宋_GB2312" w:eastAsia="仿宋_GB2312" w:cs="楷体_GB2312"/>
          <w:sz w:val="32"/>
          <w:szCs w:val="32"/>
          <w:lang w:eastAsia="zh-CN"/>
        </w:rPr>
        <w:t>县工商联</w:t>
      </w:r>
      <w:r>
        <w:rPr>
          <w:rFonts w:hint="eastAsia" w:ascii="仿宋_GB2312" w:eastAsia="仿宋_GB2312" w:cs="楷体_GB2312"/>
          <w:sz w:val="32"/>
          <w:szCs w:val="32"/>
        </w:rPr>
        <w:t>、</w:t>
      </w:r>
      <w:r>
        <w:rPr>
          <w:rFonts w:hint="eastAsia" w:ascii="仿宋_GB2312" w:eastAsia="仿宋_GB2312" w:cs="楷体_GB2312"/>
          <w:sz w:val="32"/>
          <w:szCs w:val="32"/>
          <w:lang w:eastAsia="zh-CN"/>
        </w:rPr>
        <w:t>县优化办、</w:t>
      </w:r>
      <w:r>
        <w:rPr>
          <w:rFonts w:hint="eastAsia" w:ascii="仿宋_GB2312" w:eastAsia="仿宋_GB2312" w:cs="楷体_GB2312"/>
          <w:sz w:val="32"/>
          <w:szCs w:val="32"/>
          <w:lang w:val="en-US" w:eastAsia="zh-CN"/>
        </w:rPr>
        <w:t>县产业开发区管委会</w:t>
      </w:r>
      <w:r>
        <w:rPr>
          <w:rFonts w:hint="eastAsia" w:ascii="仿宋_GB2312" w:eastAsia="仿宋_GB2312" w:cs="楷体_GB2312"/>
          <w:sz w:val="32"/>
          <w:szCs w:val="32"/>
        </w:rPr>
        <w:t>等按职能分工负责</w:t>
      </w:r>
      <w:r>
        <w:rPr>
          <w:rFonts w:hint="eastAsia" w:ascii="仿宋_GB2312" w:eastAsia="仿宋_GB2312" w:cs="楷体_GB2312"/>
          <w:sz w:val="32"/>
          <w:szCs w:val="32"/>
          <w:lang w:eastAsia="zh-CN"/>
        </w:rPr>
        <w:t>）</w:t>
      </w:r>
    </w:p>
    <w:p w14:paraId="25002B77">
      <w:pPr>
        <w:keepNext w:val="0"/>
        <w:keepLines w:val="0"/>
        <w:pageBreakBefore w:val="0"/>
        <w:widowControl w:val="0"/>
        <w:kinsoku/>
        <w:wordWrap/>
        <w:overflowPunct/>
        <w:topLinePunct w:val="0"/>
        <w:autoSpaceDE/>
        <w:autoSpaceDN/>
        <w:bidi w:val="0"/>
        <w:adjustRightInd/>
        <w:snapToGrid/>
        <w:spacing w:line="540" w:lineRule="exact"/>
        <w:ind w:left="0" w:firstLine="643" w:firstLineChars="200"/>
        <w:textAlignment w:val="auto"/>
        <w:rPr>
          <w:rFonts w:hint="eastAsia" w:ascii="仿宋_GB2312" w:eastAsia="仿宋_GB2312" w:cs="楷体_GB2312"/>
          <w:sz w:val="32"/>
          <w:szCs w:val="32"/>
          <w:lang w:val="en-US" w:eastAsia="zh-CN"/>
        </w:rPr>
      </w:pPr>
      <w:r>
        <w:rPr>
          <w:rFonts w:hint="eastAsia" w:ascii="仿宋_GB2312" w:eastAsia="仿宋_GB2312" w:cs="仿宋_GB2312"/>
          <w:b/>
          <w:bCs/>
          <w:sz w:val="32"/>
          <w:szCs w:val="32"/>
          <w:lang w:val="en-US" w:eastAsia="zh-CN"/>
        </w:rPr>
        <w:t>2.加强政策统筹。</w:t>
      </w:r>
      <w:r>
        <w:rPr>
          <w:rFonts w:hint="eastAsia" w:ascii="仿宋_GB2312" w:eastAsia="仿宋_GB2312" w:cs="仿宋_GB2312"/>
          <w:sz w:val="32"/>
          <w:szCs w:val="32"/>
          <w:lang w:val="en-US" w:eastAsia="zh-CN"/>
        </w:rPr>
        <w:t>加强经济政策和非经济政策与宏观政策取向一致性评估，在评估对市场预期的影响时，充分考虑是否衔接相关领域现行政策、是否听取经营主体意见、是否违规增加经营主体义务、是否设置缓冲期等因素，防止和纠正不同部门政策“合成谬误”。加强行政复议附带审查规范性文件工作，纠正超越职权和违反上位法的地方文件，促进不同层级的政策同向发力。</w:t>
      </w:r>
      <w:r>
        <w:rPr>
          <w:rFonts w:hint="eastAsia" w:ascii="仿宋_GB2312" w:eastAsia="仿宋_GB2312" w:cs="楷体_GB2312"/>
          <w:sz w:val="32"/>
          <w:szCs w:val="32"/>
          <w:lang w:val="en-US" w:eastAsia="zh-CN"/>
        </w:rPr>
        <w:t>（县发展改革局、县司法局牵头）</w:t>
      </w:r>
    </w:p>
    <w:p w14:paraId="75A1DE1E">
      <w:pPr>
        <w:keepNext w:val="0"/>
        <w:keepLines w:val="0"/>
        <w:pageBreakBefore w:val="0"/>
        <w:widowControl w:val="0"/>
        <w:kinsoku/>
        <w:wordWrap/>
        <w:overflowPunct/>
        <w:topLinePunct w:val="0"/>
        <w:autoSpaceDE/>
        <w:autoSpaceDN/>
        <w:bidi w:val="0"/>
        <w:adjustRightInd/>
        <w:snapToGrid/>
        <w:spacing w:line="540" w:lineRule="exact"/>
        <w:ind w:left="0" w:firstLine="643" w:firstLineChars="200"/>
        <w:textAlignment w:val="auto"/>
        <w:rPr>
          <w:rFonts w:hint="eastAsia" w:ascii="仿宋_GB2312" w:eastAsia="仿宋_GB2312" w:cs="楷体_GB2312"/>
          <w:sz w:val="32"/>
          <w:szCs w:val="32"/>
          <w:lang w:val="en-US" w:eastAsia="zh-CN"/>
        </w:rPr>
      </w:pPr>
      <w:r>
        <w:rPr>
          <w:rFonts w:hint="eastAsia" w:ascii="仿宋_GB2312" w:eastAsia="仿宋_GB2312" w:cs="仿宋_GB2312"/>
          <w:b/>
          <w:bCs/>
          <w:sz w:val="32"/>
          <w:szCs w:val="32"/>
          <w:lang w:val="en-US" w:eastAsia="zh-CN"/>
        </w:rPr>
        <w:t>3.规范执法检查。</w:t>
      </w:r>
      <w:r>
        <w:rPr>
          <w:rFonts w:hint="eastAsia" w:ascii="仿宋_GB2312" w:eastAsia="仿宋_GB2312" w:cs="仿宋_GB2312"/>
          <w:sz w:val="32"/>
          <w:szCs w:val="32"/>
          <w:lang w:val="en-US" w:eastAsia="zh-CN"/>
        </w:rPr>
        <w:t>制定规范行政裁量权行使的监管规则，清晰界定规范性文件中概括性用语的具体情形，分门别类确立具体的量化标准。制定关于严格规范涉企行政检查的实施方案，开展规范涉企执法专项行动，整治趋利性执法以及乱罚款、乱检查、乱查封等问题，动态监测罚没收入异常增长、大量异地执法、大额顶格处罚等情况，审查核实相关执法行为，有问题的及时予以纠正。加强涉企行政复议工作，坚决纠正侵犯经营主体合法权益的违法或者不当行政行为。合理统筹各执法单位的行政检查计划，严格限定检查频次，优化“综合查一次”，规范实施跨部门联合检查。除根据重点监管事项清单和问题线索开展的靶向监管外，全面通过“双随机、一公开”方式开展涉企行政检查。探索采用大数据分析等非现场监管方式，减少现场检查频次。依托“怀化政企行”综合监管平台功能，全面推行“扫码入企、联码督查”，对多头执法、重复检查等行为进行智能预警、联网监督整改。</w:t>
      </w:r>
      <w:r>
        <w:rPr>
          <w:rFonts w:hint="eastAsia" w:ascii="仿宋_GB2312" w:eastAsia="仿宋_GB2312" w:cs="楷体_GB2312"/>
          <w:sz w:val="32"/>
          <w:szCs w:val="32"/>
          <w:lang w:val="en-US" w:eastAsia="zh-CN"/>
        </w:rPr>
        <w:t>（县司法局牵头，县市场监管局、县财政局、县人民法院、县优化办、县直各行政执法主管部门等按职能分工负责）</w:t>
      </w:r>
    </w:p>
    <w:p w14:paraId="39CCA553">
      <w:pPr>
        <w:keepNext w:val="0"/>
        <w:keepLines w:val="0"/>
        <w:pageBreakBefore w:val="0"/>
        <w:widowControl w:val="0"/>
        <w:kinsoku/>
        <w:wordWrap/>
        <w:overflowPunct/>
        <w:topLinePunct w:val="0"/>
        <w:autoSpaceDE/>
        <w:autoSpaceDN/>
        <w:bidi w:val="0"/>
        <w:adjustRightInd/>
        <w:snapToGrid/>
        <w:spacing w:line="540" w:lineRule="exact"/>
        <w:ind w:left="0" w:firstLine="643" w:firstLineChars="200"/>
        <w:textAlignment w:val="auto"/>
        <w:rPr>
          <w:rFonts w:hint="eastAsia" w:ascii="仿宋_GB2312" w:eastAsia="仿宋_GB2312" w:cs="楷体_GB2312"/>
          <w:sz w:val="32"/>
          <w:szCs w:val="32"/>
          <w:lang w:val="en-US" w:eastAsia="zh-CN"/>
        </w:rPr>
      </w:pPr>
      <w:r>
        <w:rPr>
          <w:rFonts w:hint="eastAsia" w:ascii="仿宋_GB2312" w:eastAsia="仿宋_GB2312" w:cs="仿宋_GB2312"/>
          <w:b/>
          <w:bCs/>
          <w:sz w:val="32"/>
          <w:szCs w:val="32"/>
          <w:lang w:val="en-US" w:eastAsia="zh-CN"/>
        </w:rPr>
        <w:t>4.加大权益保护。</w:t>
      </w:r>
      <w:r>
        <w:rPr>
          <w:rFonts w:hint="eastAsia" w:ascii="仿宋_GB2312" w:eastAsia="仿宋_GB2312" w:cs="仿宋_GB2312"/>
          <w:sz w:val="32"/>
          <w:szCs w:val="32"/>
          <w:lang w:val="en-US" w:eastAsia="zh-CN"/>
        </w:rPr>
        <w:t>做好涉企案件羁押必要性审查和违法“查扣冻”监</w:t>
      </w:r>
      <w:r>
        <w:rPr>
          <w:rFonts w:hint="eastAsia" w:ascii="仿宋_GB2312" w:eastAsia="仿宋_GB2312" w:cs="仿宋_GB2312"/>
          <w:color w:val="000000"/>
          <w:sz w:val="32"/>
          <w:szCs w:val="32"/>
          <w:lang w:val="en-US" w:eastAsia="zh-CN"/>
        </w:rPr>
        <w:t>督，重点整治以刑事手段插手干预经济纠纷、民事纠纷，不通知本地公安机关私自</w:t>
      </w:r>
      <w:r>
        <w:rPr>
          <w:rFonts w:hint="eastAsia" w:ascii="仿宋_GB2312" w:eastAsia="仿宋_GB2312" w:cs="仿宋_GB2312"/>
          <w:sz w:val="32"/>
          <w:szCs w:val="32"/>
          <w:lang w:val="en-US" w:eastAsia="zh-CN"/>
        </w:rPr>
        <w:t>异地办案、超协作范围随意抓人扣物等违法违规行为。探索网络治理领域公益诉讼检察，监督纠正通过“网暴”等手段造谣抹黑企业和企业家等违法行为。建立完善公共法律服务、矛盾纠纷化解机制，深化商事调解试点工作，探索公证机构依法设立商事调解组织。加大知识产权行政保护力度，推动对故意侵犯、重复侵犯专利权，以及拒不履行生效行政裁决等行为引入联合惩戒等措施。开展知识产权公共服务惠企对接行动，推动建立供需匹配的公共服务供给机制。进一步完善知识产权公共服务建设。</w:t>
      </w:r>
      <w:r>
        <w:rPr>
          <w:rFonts w:hint="eastAsia" w:ascii="仿宋_GB2312" w:eastAsia="仿宋_GB2312" w:cs="楷体_GB2312"/>
          <w:sz w:val="32"/>
          <w:szCs w:val="32"/>
          <w:lang w:val="en-US" w:eastAsia="zh-CN"/>
        </w:rPr>
        <w:t>（县人民检察院、县人民法院、县公安局、县司法局、县市场监管局等按职能分工负责）</w:t>
      </w:r>
    </w:p>
    <w:p w14:paraId="4695CD27">
      <w:pPr>
        <w:keepNext w:val="0"/>
        <w:keepLines w:val="0"/>
        <w:pageBreakBefore w:val="0"/>
        <w:widowControl w:val="0"/>
        <w:kinsoku/>
        <w:wordWrap/>
        <w:overflowPunct/>
        <w:topLinePunct w:val="0"/>
        <w:autoSpaceDE/>
        <w:autoSpaceDN/>
        <w:adjustRightInd/>
        <w:snapToGrid/>
        <w:spacing w:line="540" w:lineRule="exact"/>
        <w:ind w:left="0" w:firstLine="640" w:firstLineChars="200"/>
        <w:rPr>
          <w:rFonts w:hint="eastAsia" w:ascii="楷体_GB2312" w:eastAsia="楷体_GB2312" w:cs="楷体_GB2312"/>
          <w:szCs w:val="32"/>
        </w:rPr>
      </w:pPr>
      <w:r>
        <w:rPr>
          <w:rFonts w:hint="eastAsia" w:ascii="楷体_GB2312" w:eastAsia="楷体_GB2312" w:cs="楷体_GB2312"/>
          <w:szCs w:val="32"/>
        </w:rPr>
        <w:t>（三）着力优要素强保障</w:t>
      </w:r>
    </w:p>
    <w:p w14:paraId="5A93AAA5">
      <w:pPr>
        <w:keepNext w:val="0"/>
        <w:keepLines w:val="0"/>
        <w:pageBreakBefore w:val="0"/>
        <w:widowControl w:val="0"/>
        <w:kinsoku/>
        <w:wordWrap/>
        <w:overflowPunct/>
        <w:topLinePunct w:val="0"/>
        <w:autoSpaceDE/>
        <w:autoSpaceDN/>
        <w:bidi w:val="0"/>
        <w:adjustRightInd/>
        <w:snapToGrid/>
        <w:spacing w:line="540" w:lineRule="exact"/>
        <w:ind w:left="0" w:firstLine="643" w:firstLineChars="200"/>
        <w:textAlignment w:val="auto"/>
        <w:rPr>
          <w:rFonts w:hint="eastAsia" w:ascii="仿宋_GB2312" w:eastAsia="仿宋_GB2312" w:cs="楷体_GB2312"/>
          <w:sz w:val="32"/>
          <w:szCs w:val="32"/>
          <w:lang w:val="en-US" w:eastAsia="zh-CN"/>
        </w:rPr>
      </w:pPr>
      <w:r>
        <w:rPr>
          <w:rFonts w:hint="eastAsia" w:ascii="仿宋_GB2312" w:eastAsia="仿宋_GB2312" w:cs="仿宋_GB2312"/>
          <w:b/>
          <w:bCs/>
          <w:sz w:val="32"/>
          <w:szCs w:val="32"/>
          <w:lang w:val="en-US" w:eastAsia="zh-CN"/>
        </w:rPr>
        <w:t>1.强化要素支撑。</w:t>
      </w:r>
      <w:r>
        <w:rPr>
          <w:rFonts w:hint="eastAsia" w:ascii="仿宋_GB2312" w:eastAsia="仿宋_GB2312" w:cs="仿宋_GB2312"/>
          <w:sz w:val="32"/>
          <w:szCs w:val="32"/>
          <w:lang w:val="en-US" w:eastAsia="zh-CN"/>
        </w:rPr>
        <w:t>统筹新增和存量建设用地，健全更具精准性和利用效率的土地管理制度，推进自然资源全要素统一市场建设。加强用工服务平台建设，加大岗位信息归集共享应用，精准实施失业保险稳岗返还政策。引导企业构建和谐劳动关系，加强培训指导，防范用工风险，依法处理劳动纠纷。启动创新创业孵化基地建设。强化供电可靠性基础管理和电压质量管理，开展频繁停电专项整治。</w:t>
      </w:r>
      <w:r>
        <w:rPr>
          <w:rFonts w:hint="eastAsia" w:ascii="仿宋_GB2312" w:eastAsia="仿宋_GB2312" w:cs="楷体_GB2312"/>
          <w:sz w:val="32"/>
          <w:szCs w:val="32"/>
          <w:lang w:val="en-US" w:eastAsia="zh-CN"/>
        </w:rPr>
        <w:t>（县自然资源局、县人力资源社会保障局、县发展改革局、国网沅陵县供电公司等按职能分工负责）</w:t>
      </w:r>
    </w:p>
    <w:p w14:paraId="2E5C8E6D">
      <w:pPr>
        <w:keepNext w:val="0"/>
        <w:keepLines w:val="0"/>
        <w:pageBreakBefore w:val="0"/>
        <w:widowControl w:val="0"/>
        <w:kinsoku/>
        <w:wordWrap/>
        <w:overflowPunct/>
        <w:topLinePunct w:val="0"/>
        <w:autoSpaceDE/>
        <w:autoSpaceDN/>
        <w:bidi w:val="0"/>
        <w:adjustRightInd/>
        <w:snapToGrid/>
        <w:spacing w:line="540" w:lineRule="exact"/>
        <w:ind w:left="0" w:firstLine="643" w:firstLineChars="200"/>
        <w:textAlignment w:val="auto"/>
        <w:rPr>
          <w:rFonts w:hint="eastAsia" w:ascii="仿宋_GB2312" w:eastAsia="仿宋_GB2312" w:cs="楷体_GB2312"/>
          <w:sz w:val="32"/>
          <w:szCs w:val="32"/>
          <w:lang w:val="en-US" w:eastAsia="zh-CN"/>
        </w:rPr>
      </w:pPr>
      <w:r>
        <w:rPr>
          <w:rFonts w:hint="eastAsia" w:ascii="仿宋_GB2312" w:eastAsia="仿宋_GB2312" w:cs="仿宋_GB2312"/>
          <w:b/>
          <w:bCs/>
          <w:sz w:val="32"/>
          <w:szCs w:val="32"/>
          <w:lang w:val="en-US" w:eastAsia="zh-CN"/>
        </w:rPr>
        <w:t>2.优化金融服务。</w:t>
      </w:r>
      <w:r>
        <w:rPr>
          <w:rFonts w:hint="eastAsia" w:ascii="仿宋_GB2312" w:eastAsia="仿宋_GB2312" w:cs="仿宋_GB2312"/>
          <w:sz w:val="32"/>
          <w:szCs w:val="32"/>
          <w:lang w:val="en-US" w:eastAsia="zh-CN"/>
        </w:rPr>
        <w:t>做好金融“五篇大文章”，壮大支持产业发展的长期资本、耐心资本，构建金融服务实体经济的激励约束机制。进一步落实产业链主办行制度，新增贷款21亿元以上。支持金融机构对符合条件的中小企业按照市场化、法制化原则直接展期、续贷。推动银行业金融机构规范尽职免责工作机制和流程，明确尽职认定标准，细化免责情形。健全政府性融资担保机构体系，完善风险分担补偿机制，降低担保费率。强化“政银企”信息共享，建立经营主体档案数据库，依法依规归集整合经营主体基础信息、用电量、纳税、社保、住房公积金、水电气费等反映实际生产经营状况的信息，强化与资本市场相关机构的信息共享以及与银行信贷信息的互联互通，为金融机构开展信贷风险评估提供数据支撑，支持金融机构有针对性地开发信贷产品。深化知识价值信用贷款风险补偿改革。</w:t>
      </w:r>
      <w:r>
        <w:rPr>
          <w:rFonts w:hint="eastAsia" w:ascii="仿宋_GB2312" w:eastAsia="仿宋_GB2312" w:cs="楷体_GB2312"/>
          <w:sz w:val="32"/>
          <w:szCs w:val="32"/>
          <w:lang w:val="en-US" w:eastAsia="zh-CN"/>
        </w:rPr>
        <w:t>（县财政局、县工业和信息化局、县金改办、人民银行沅陵营管部、沅陵金融监管支局、县科技局、县市场监管局、县发展改革局、国家税务总局沅陵县税务局、县人力资源社会保障局、县住房城乡建设局等按职能分工负责）</w:t>
      </w:r>
    </w:p>
    <w:p w14:paraId="3960D154">
      <w:pPr>
        <w:keepNext w:val="0"/>
        <w:keepLines w:val="0"/>
        <w:pageBreakBefore w:val="0"/>
        <w:widowControl w:val="0"/>
        <w:kinsoku/>
        <w:wordWrap/>
        <w:overflowPunct/>
        <w:topLinePunct w:val="0"/>
        <w:autoSpaceDE/>
        <w:autoSpaceDN/>
        <w:bidi w:val="0"/>
        <w:adjustRightInd/>
        <w:snapToGrid/>
        <w:spacing w:line="540" w:lineRule="exact"/>
        <w:ind w:left="0" w:firstLine="643" w:firstLineChars="200"/>
        <w:textAlignment w:val="auto"/>
        <w:rPr>
          <w:rFonts w:hint="eastAsia" w:ascii="仿宋_GB2312" w:eastAsia="仿宋_GB2312" w:cs="楷体_GB2312"/>
          <w:sz w:val="32"/>
          <w:szCs w:val="32"/>
          <w:lang w:val="en-US" w:eastAsia="zh-CN"/>
        </w:rPr>
      </w:pPr>
      <w:r>
        <w:rPr>
          <w:rFonts w:hint="eastAsia" w:ascii="仿宋_GB2312" w:eastAsia="仿宋_GB2312" w:cs="仿宋_GB2312"/>
          <w:b/>
          <w:bCs/>
          <w:sz w:val="32"/>
          <w:szCs w:val="32"/>
          <w:lang w:val="en-US" w:eastAsia="zh-CN"/>
        </w:rPr>
        <w:t>3.推动降本增效。</w:t>
      </w:r>
      <w:r>
        <w:rPr>
          <w:rFonts w:hint="eastAsia" w:ascii="仿宋_GB2312" w:eastAsia="仿宋_GB2312" w:cs="仿宋_GB2312"/>
          <w:sz w:val="32"/>
          <w:szCs w:val="32"/>
          <w:lang w:val="en-US" w:eastAsia="zh-CN"/>
        </w:rPr>
        <w:t>优化水、电、气等资源性产品交易和供应制度，减少交易和供应中间环节。严格执行分类销售电价政策，落实居民、农业和工商业电价交叉补贴规模和分时电价政策，综合降低工商业用电成本。加快推动天然气管网“一张网、一个价”改革。推进有效降低全社会物流成本七大行动，加快构建公转铁、公转水多式联运体系建设，不断优化货物运输结构，新增限额以上商贸流通企业15家以上，力争A级物流企业1家以上，促进现代物流与重大生产力布局协同发展，推动物流降本增效。</w:t>
      </w:r>
      <w:r>
        <w:rPr>
          <w:rFonts w:hint="eastAsia" w:ascii="仿宋_GB2312" w:eastAsia="仿宋_GB2312" w:cs="楷体_GB2312"/>
          <w:sz w:val="32"/>
          <w:szCs w:val="32"/>
          <w:lang w:val="en-US" w:eastAsia="zh-CN"/>
        </w:rPr>
        <w:t>（县发展改革局、县工业和信息化局、国网沅陵县供电公司、县交通运输局、县商务局、县住房城乡建设局、县邮政管理局等按职能分工负责）</w:t>
      </w:r>
    </w:p>
    <w:p w14:paraId="629C9009">
      <w:pPr>
        <w:keepNext w:val="0"/>
        <w:keepLines w:val="0"/>
        <w:pageBreakBefore w:val="0"/>
        <w:widowControl w:val="0"/>
        <w:kinsoku/>
        <w:wordWrap/>
        <w:overflowPunct/>
        <w:topLinePunct w:val="0"/>
        <w:autoSpaceDE/>
        <w:autoSpaceDN/>
        <w:adjustRightInd/>
        <w:snapToGrid/>
        <w:spacing w:line="540" w:lineRule="exact"/>
        <w:ind w:left="0" w:firstLine="640" w:firstLineChars="200"/>
        <w:rPr>
          <w:rFonts w:hint="eastAsia" w:ascii="楷体_GB2312" w:eastAsia="楷体_GB2312" w:cs="楷体_GB2312"/>
          <w:szCs w:val="32"/>
        </w:rPr>
      </w:pPr>
      <w:r>
        <w:rPr>
          <w:rFonts w:hint="eastAsia" w:ascii="楷体_GB2312" w:eastAsia="楷体_GB2312" w:cs="楷体_GB2312"/>
          <w:szCs w:val="32"/>
        </w:rPr>
        <w:t>（四）着力优服务增便利</w:t>
      </w:r>
    </w:p>
    <w:p w14:paraId="773D1696">
      <w:pPr>
        <w:keepNext w:val="0"/>
        <w:keepLines w:val="0"/>
        <w:pageBreakBefore w:val="0"/>
        <w:widowControl w:val="0"/>
        <w:kinsoku/>
        <w:wordWrap/>
        <w:overflowPunct/>
        <w:topLinePunct w:val="0"/>
        <w:autoSpaceDE/>
        <w:autoSpaceDN/>
        <w:bidi w:val="0"/>
        <w:adjustRightInd/>
        <w:snapToGrid/>
        <w:spacing w:line="540" w:lineRule="exact"/>
        <w:ind w:left="0" w:firstLine="643" w:firstLineChars="200"/>
        <w:textAlignment w:val="auto"/>
        <w:rPr>
          <w:rFonts w:hint="eastAsia" w:ascii="仿宋_GB2312" w:eastAsia="仿宋_GB2312" w:cs="楷体_GB2312"/>
          <w:sz w:val="32"/>
          <w:szCs w:val="32"/>
        </w:rPr>
      </w:pPr>
      <w:r>
        <w:rPr>
          <w:rFonts w:hint="eastAsia" w:ascii="仿宋_GB2312" w:eastAsia="仿宋_GB2312" w:cs="仿宋_GB2312"/>
          <w:b/>
          <w:bCs/>
          <w:sz w:val="32"/>
          <w:szCs w:val="32"/>
        </w:rPr>
        <w:t>1.提升政务服务效能。</w:t>
      </w:r>
      <w:r>
        <w:rPr>
          <w:rFonts w:hint="eastAsia" w:ascii="仿宋_GB2312" w:eastAsia="仿宋_GB2312" w:cs="仿宋_GB2312"/>
          <w:sz w:val="32"/>
          <w:szCs w:val="32"/>
          <w:lang w:val="en-US" w:eastAsia="zh-CN"/>
        </w:rPr>
        <w:t>全面用活“湘易办”，集成化接入高频服务。深化政务数据共享，建立“高效办成一件事”重点事项清单管理、常态化推进机制，探索更多特色事项。推动电子证照跨地区跨部门互通互认，实现政府部门核发的材料免于提交、能够通过数据共享核验的事项免于提交证明材料、能够提供电子证照的免于提交实体证照。丰富“跨市通办”“跨省通办”业务清单。探索开设远程虚拟窗口，运用远程身份核验、音视频互动、屏幕共享等技术提供远程帮代办服务。</w:t>
      </w:r>
      <w:r>
        <w:rPr>
          <w:rFonts w:hint="eastAsia" w:ascii="仿宋_GB2312" w:eastAsia="仿宋_GB2312" w:cs="楷体_GB2312"/>
          <w:sz w:val="32"/>
          <w:szCs w:val="32"/>
          <w:lang w:eastAsia="zh-CN"/>
        </w:rPr>
        <w:t>（县政务服务中心</w:t>
      </w:r>
      <w:r>
        <w:rPr>
          <w:rFonts w:hint="eastAsia" w:ascii="仿宋_GB2312" w:eastAsia="仿宋_GB2312" w:cs="楷体_GB2312"/>
          <w:sz w:val="32"/>
          <w:szCs w:val="32"/>
        </w:rPr>
        <w:t>牵头</w:t>
      </w:r>
      <w:r>
        <w:rPr>
          <w:rFonts w:hint="eastAsia" w:ascii="仿宋_GB2312" w:eastAsia="仿宋_GB2312" w:cs="楷体_GB2312"/>
          <w:sz w:val="32"/>
          <w:szCs w:val="32"/>
          <w:lang w:eastAsia="zh-CN"/>
        </w:rPr>
        <w:t>）</w:t>
      </w:r>
    </w:p>
    <w:p w14:paraId="6A0985A4">
      <w:pPr>
        <w:keepNext w:val="0"/>
        <w:keepLines w:val="0"/>
        <w:pageBreakBefore w:val="0"/>
        <w:widowControl w:val="0"/>
        <w:kinsoku/>
        <w:wordWrap/>
        <w:overflowPunct/>
        <w:topLinePunct w:val="0"/>
        <w:autoSpaceDE/>
        <w:autoSpaceDN/>
        <w:bidi w:val="0"/>
        <w:adjustRightInd/>
        <w:snapToGrid/>
        <w:spacing w:line="540" w:lineRule="exact"/>
        <w:ind w:left="0" w:firstLine="643" w:firstLineChars="200"/>
        <w:textAlignment w:val="auto"/>
        <w:rPr>
          <w:rFonts w:hint="eastAsia" w:ascii="仿宋_GB2312" w:eastAsia="仿宋_GB2312" w:cs="楷体_GB2312"/>
          <w:sz w:val="32"/>
          <w:szCs w:val="32"/>
        </w:rPr>
      </w:pPr>
      <w:r>
        <w:rPr>
          <w:rFonts w:hint="eastAsia" w:ascii="仿宋_GB2312" w:eastAsia="仿宋_GB2312" w:cs="仿宋_GB2312"/>
          <w:b/>
          <w:bCs/>
          <w:sz w:val="32"/>
          <w:szCs w:val="32"/>
        </w:rPr>
        <w:t>2.推动政策直达快享。</w:t>
      </w:r>
      <w:r>
        <w:rPr>
          <w:rFonts w:hint="eastAsia" w:ascii="仿宋_GB2312" w:eastAsia="仿宋_GB2312" w:cs="仿宋_GB2312"/>
          <w:sz w:val="32"/>
          <w:szCs w:val="32"/>
        </w:rPr>
        <w:t>依托怀化“惠企通”平台建立惠企政策集中统一发布机制，提炼政策支持对象、实施范围、额度标准等要素，智能比对政策要求与经营主体类型，实现点对点精准推送。探索推行惠企政策全程网办、免申即享。</w:t>
      </w:r>
      <w:r>
        <w:rPr>
          <w:rFonts w:ascii="仿宋_GB2312" w:eastAsia="仿宋_GB2312" w:cs="楷体_GB2312"/>
          <w:sz w:val="32"/>
          <w:szCs w:val="32"/>
          <w:lang w:eastAsia="zh-CN"/>
        </w:rPr>
        <w:t>（</w:t>
      </w:r>
      <w:r>
        <w:rPr>
          <w:rFonts w:hint="eastAsia" w:ascii="仿宋_GB2312" w:eastAsia="仿宋_GB2312" w:cs="楷体_GB2312"/>
          <w:sz w:val="32"/>
          <w:szCs w:val="32"/>
          <w:lang w:eastAsia="zh-CN"/>
        </w:rPr>
        <w:t>县工业和信息化局</w:t>
      </w:r>
      <w:r>
        <w:rPr>
          <w:rFonts w:hint="eastAsia" w:ascii="仿宋_GB2312" w:eastAsia="仿宋_GB2312" w:cs="楷体_GB2312"/>
          <w:sz w:val="32"/>
          <w:szCs w:val="32"/>
        </w:rPr>
        <w:t>、</w:t>
      </w:r>
      <w:r>
        <w:rPr>
          <w:rFonts w:hint="eastAsia" w:ascii="仿宋_GB2312" w:eastAsia="仿宋_GB2312" w:cs="楷体_GB2312"/>
          <w:sz w:val="32"/>
          <w:szCs w:val="32"/>
          <w:lang w:eastAsia="zh-CN"/>
        </w:rPr>
        <w:t>县政务服务中心</w:t>
      </w:r>
      <w:r>
        <w:rPr>
          <w:rFonts w:ascii="仿宋_GB2312" w:eastAsia="仿宋_GB2312" w:cs="楷体_GB2312"/>
          <w:sz w:val="32"/>
          <w:szCs w:val="32"/>
          <w:lang w:eastAsia="zh-CN"/>
        </w:rPr>
        <w:t>、</w:t>
      </w:r>
      <w:r>
        <w:rPr>
          <w:rFonts w:hint="eastAsia" w:ascii="仿宋_GB2312" w:eastAsia="仿宋_GB2312" w:cs="楷体_GB2312"/>
          <w:sz w:val="32"/>
          <w:szCs w:val="32"/>
          <w:lang w:val="en-US" w:eastAsia="zh-CN"/>
        </w:rPr>
        <w:t>县数据局</w:t>
      </w:r>
      <w:r>
        <w:rPr>
          <w:rFonts w:hint="eastAsia" w:ascii="仿宋_GB2312" w:eastAsia="仿宋_GB2312" w:cs="楷体_GB2312"/>
          <w:sz w:val="32"/>
          <w:szCs w:val="32"/>
        </w:rPr>
        <w:t>牵头</w:t>
      </w:r>
      <w:r>
        <w:rPr>
          <w:rFonts w:ascii="仿宋_GB2312" w:eastAsia="仿宋_GB2312" w:cs="楷体_GB2312"/>
          <w:sz w:val="32"/>
          <w:szCs w:val="32"/>
          <w:lang w:eastAsia="zh-CN"/>
        </w:rPr>
        <w:t>）</w:t>
      </w:r>
    </w:p>
    <w:p w14:paraId="3A64F7E2">
      <w:pPr>
        <w:keepNext w:val="0"/>
        <w:keepLines w:val="0"/>
        <w:pageBreakBefore w:val="0"/>
        <w:widowControl w:val="0"/>
        <w:kinsoku/>
        <w:wordWrap/>
        <w:overflowPunct/>
        <w:topLinePunct w:val="0"/>
        <w:autoSpaceDE/>
        <w:autoSpaceDN/>
        <w:bidi w:val="0"/>
        <w:adjustRightInd/>
        <w:snapToGrid/>
        <w:spacing w:line="540" w:lineRule="exact"/>
        <w:ind w:left="0" w:firstLine="643" w:firstLineChars="200"/>
        <w:textAlignment w:val="auto"/>
        <w:rPr>
          <w:rFonts w:hint="eastAsia" w:ascii="仿宋_GB2312" w:eastAsia="仿宋_GB2312" w:cs="楷体_GB2312"/>
          <w:sz w:val="32"/>
          <w:szCs w:val="32"/>
        </w:rPr>
      </w:pPr>
      <w:r>
        <w:rPr>
          <w:rFonts w:hint="eastAsia" w:ascii="仿宋_GB2312" w:eastAsia="仿宋_GB2312" w:cs="仿宋_GB2312"/>
          <w:b/>
          <w:bCs/>
          <w:sz w:val="32"/>
          <w:szCs w:val="32"/>
        </w:rPr>
        <w:t>3.加强中介服务监管。</w:t>
      </w:r>
      <w:r>
        <w:rPr>
          <w:rFonts w:hint="eastAsia" w:ascii="仿宋_GB2312" w:eastAsia="仿宋_GB2312" w:cs="仿宋_GB2312"/>
          <w:sz w:val="32"/>
          <w:szCs w:val="32"/>
        </w:rPr>
        <w:t>梳理发布全</w:t>
      </w:r>
      <w:r>
        <w:rPr>
          <w:rFonts w:hint="eastAsia" w:ascii="仿宋_GB2312" w:eastAsia="仿宋_GB2312" w:cs="仿宋_GB2312"/>
          <w:sz w:val="32"/>
          <w:szCs w:val="32"/>
          <w:lang w:val="en-US" w:eastAsia="zh-CN"/>
        </w:rPr>
        <w:t>县</w:t>
      </w:r>
      <w:r>
        <w:rPr>
          <w:rFonts w:hint="eastAsia" w:ascii="仿宋_GB2312" w:eastAsia="仿宋_GB2312" w:cs="仿宋_GB2312"/>
          <w:sz w:val="32"/>
          <w:szCs w:val="32"/>
        </w:rPr>
        <w:t>行政审批中介服务事项，全面清理没有法律法规或者国务院、省政府决定为依据的行政审批中介服务事项。落实《湖南省网上中介服务超市管理运行办法》，加强网上中介服务超市应用，引导符合从业条件的中介服务机构“零门槛、零限制”入驻。坚持便民、就近原则和“谁委托、谁付费”，依法开展行政审批中介服务。依托湖南省网上中介服务超市开展行政审批中介服务质量评价并公开发布评价结果。</w:t>
      </w:r>
      <w:r>
        <w:rPr>
          <w:rFonts w:hint="eastAsia" w:ascii="仿宋_GB2312" w:eastAsia="仿宋_GB2312" w:cs="楷体_GB2312"/>
          <w:sz w:val="32"/>
          <w:szCs w:val="32"/>
          <w:lang w:eastAsia="zh-CN"/>
        </w:rPr>
        <w:t>（县政务服务中心</w:t>
      </w:r>
      <w:r>
        <w:rPr>
          <w:rFonts w:hint="eastAsia" w:ascii="仿宋_GB2312" w:eastAsia="仿宋_GB2312" w:cs="楷体_GB2312"/>
          <w:sz w:val="32"/>
          <w:szCs w:val="32"/>
        </w:rPr>
        <w:t>牵头，各行政审批职能部门按职能分工负责</w:t>
      </w:r>
      <w:r>
        <w:rPr>
          <w:rFonts w:hint="eastAsia" w:ascii="仿宋_GB2312" w:eastAsia="仿宋_GB2312" w:cs="楷体_GB2312"/>
          <w:sz w:val="32"/>
          <w:szCs w:val="32"/>
          <w:lang w:eastAsia="zh-CN"/>
        </w:rPr>
        <w:t>）</w:t>
      </w:r>
    </w:p>
    <w:p w14:paraId="53EFE119">
      <w:pPr>
        <w:keepNext w:val="0"/>
        <w:keepLines w:val="0"/>
        <w:pageBreakBefore w:val="0"/>
        <w:widowControl w:val="0"/>
        <w:kinsoku/>
        <w:wordWrap/>
        <w:overflowPunct/>
        <w:topLinePunct w:val="0"/>
        <w:autoSpaceDE/>
        <w:autoSpaceDN/>
        <w:bidi w:val="0"/>
        <w:adjustRightInd/>
        <w:snapToGrid/>
        <w:spacing w:line="540" w:lineRule="exact"/>
        <w:ind w:left="0" w:firstLine="643" w:firstLineChars="200"/>
        <w:textAlignment w:val="auto"/>
        <w:rPr>
          <w:rFonts w:hint="eastAsia" w:ascii="仿宋_GB2312" w:eastAsia="仿宋_GB2312" w:cs="楷体_GB2312"/>
          <w:sz w:val="32"/>
          <w:szCs w:val="32"/>
        </w:rPr>
      </w:pPr>
      <w:r>
        <w:rPr>
          <w:rFonts w:hint="eastAsia" w:ascii="仿宋_GB2312" w:eastAsia="仿宋_GB2312" w:cs="仿宋_GB2312"/>
          <w:b/>
          <w:bCs/>
          <w:sz w:val="32"/>
          <w:szCs w:val="32"/>
        </w:rPr>
        <w:t>4.提高企业服务质效。</w:t>
      </w:r>
      <w:r>
        <w:rPr>
          <w:rFonts w:hint="eastAsia" w:ascii="仿宋_GB2312" w:eastAsia="仿宋_GB2312" w:cs="仿宋_GB2312"/>
          <w:sz w:val="32"/>
          <w:szCs w:val="32"/>
        </w:rPr>
        <w:t>落实“两重”“两新”以及一揽子增量政策，常态开展“走找想促”活动、“送解优”“链长到一线”行动，持续开展“便民办税春风行动”“一起益企”“中小企业服务月”“个体工商户服务月”等活动。广泛使用“怀化营商通”平台，</w:t>
      </w:r>
      <w:r>
        <w:rPr>
          <w:rFonts w:hint="eastAsia" w:ascii="仿宋_GB2312" w:eastAsia="仿宋_GB2312" w:cs="仿宋_GB2312"/>
          <w:sz w:val="32"/>
          <w:szCs w:val="32"/>
          <w:lang w:val="en-US" w:eastAsia="zh-CN"/>
        </w:rPr>
        <w:t>落实</w:t>
      </w:r>
      <w:r>
        <w:rPr>
          <w:rFonts w:hint="eastAsia" w:ascii="仿宋_GB2312" w:eastAsia="仿宋_GB2312" w:cs="仿宋_GB2312"/>
          <w:sz w:val="32"/>
          <w:szCs w:val="32"/>
        </w:rPr>
        <w:t>惠企政策推广、涉企检查扫码留痕、营商诉求办理等功能，健全企业诉求闭环办理机制。落实全省统一的政商交往正面清单、负面清单和倡导清单。创新中试平台招商、产业链招商新模式，持续抓好“</w:t>
      </w:r>
      <w:r>
        <w:rPr>
          <w:rFonts w:hint="eastAsia" w:ascii="仿宋_GB2312" w:eastAsia="仿宋_GB2312" w:cs="仿宋_GB2312"/>
          <w:sz w:val="32"/>
          <w:szCs w:val="32"/>
          <w:lang w:val="en-US" w:eastAsia="zh-CN"/>
        </w:rPr>
        <w:t>沅</w:t>
      </w:r>
      <w:r>
        <w:rPr>
          <w:rFonts w:hint="eastAsia" w:ascii="仿宋_GB2312" w:eastAsia="仿宋_GB2312" w:cs="仿宋_GB2312"/>
          <w:sz w:val="32"/>
          <w:szCs w:val="32"/>
        </w:rPr>
        <w:t>商回归”“校友回</w:t>
      </w:r>
      <w:r>
        <w:rPr>
          <w:rFonts w:hint="eastAsia" w:ascii="仿宋_GB2312" w:eastAsia="仿宋_GB2312" w:cs="仿宋_GB2312"/>
          <w:sz w:val="32"/>
          <w:szCs w:val="32"/>
          <w:lang w:val="en-US" w:eastAsia="zh-CN"/>
        </w:rPr>
        <w:t>沅</w:t>
      </w:r>
      <w:r>
        <w:rPr>
          <w:rFonts w:hint="eastAsia" w:ascii="仿宋_GB2312" w:eastAsia="仿宋_GB2312" w:cs="仿宋_GB2312"/>
          <w:sz w:val="32"/>
          <w:szCs w:val="32"/>
        </w:rPr>
        <w:t>”，推动“情暖</w:t>
      </w:r>
      <w:r>
        <w:rPr>
          <w:rFonts w:hint="eastAsia" w:ascii="仿宋_GB2312" w:eastAsia="仿宋_GB2312" w:cs="仿宋_GB2312"/>
          <w:sz w:val="32"/>
          <w:szCs w:val="32"/>
          <w:lang w:val="en-US" w:eastAsia="zh-CN"/>
        </w:rPr>
        <w:t>沅</w:t>
      </w:r>
      <w:r>
        <w:rPr>
          <w:rFonts w:hint="eastAsia" w:ascii="仿宋_GB2312" w:eastAsia="仿宋_GB2312" w:cs="仿宋_GB2312"/>
          <w:sz w:val="32"/>
          <w:szCs w:val="32"/>
        </w:rPr>
        <w:t>商”品牌化，开展重点节日大走访大慰问大招商专项行动。</w:t>
      </w:r>
      <w:r>
        <w:rPr>
          <w:rFonts w:hint="eastAsia" w:ascii="仿宋_GB2312" w:eastAsia="仿宋_GB2312" w:cs="楷体_GB2312"/>
          <w:sz w:val="32"/>
          <w:szCs w:val="32"/>
          <w:lang w:eastAsia="zh-CN"/>
        </w:rPr>
        <w:t>（县发展改革局</w:t>
      </w:r>
      <w:r>
        <w:rPr>
          <w:rFonts w:hint="eastAsia" w:ascii="仿宋_GB2312" w:eastAsia="仿宋_GB2312" w:cs="楷体_GB2312"/>
          <w:sz w:val="32"/>
          <w:szCs w:val="32"/>
        </w:rPr>
        <w:t>、</w:t>
      </w:r>
      <w:r>
        <w:rPr>
          <w:rFonts w:hint="eastAsia" w:ascii="仿宋_GB2312" w:eastAsia="仿宋_GB2312" w:cs="楷体_GB2312"/>
          <w:sz w:val="32"/>
          <w:szCs w:val="32"/>
          <w:lang w:eastAsia="zh-CN"/>
        </w:rPr>
        <w:t>县工业和信息化局</w:t>
      </w:r>
      <w:r>
        <w:rPr>
          <w:rFonts w:hint="eastAsia" w:ascii="仿宋_GB2312" w:eastAsia="仿宋_GB2312" w:cs="楷体_GB2312"/>
          <w:sz w:val="32"/>
          <w:szCs w:val="32"/>
        </w:rPr>
        <w:t>、</w:t>
      </w:r>
      <w:r>
        <w:rPr>
          <w:rFonts w:hint="eastAsia" w:ascii="仿宋_GB2312" w:eastAsia="仿宋_GB2312" w:cs="楷体_GB2312"/>
          <w:sz w:val="32"/>
          <w:szCs w:val="32"/>
          <w:lang w:eastAsia="zh-CN"/>
        </w:rPr>
        <w:t>国家税务总局沅陵县税务局</w:t>
      </w:r>
      <w:r>
        <w:rPr>
          <w:rFonts w:hint="eastAsia" w:ascii="仿宋_GB2312" w:eastAsia="仿宋_GB2312" w:cs="楷体_GB2312"/>
          <w:sz w:val="32"/>
          <w:szCs w:val="32"/>
        </w:rPr>
        <w:t>、</w:t>
      </w:r>
      <w:r>
        <w:rPr>
          <w:rFonts w:hint="eastAsia" w:ascii="仿宋_GB2312" w:eastAsia="仿宋_GB2312" w:cs="楷体_GB2312"/>
          <w:sz w:val="32"/>
          <w:szCs w:val="32"/>
          <w:lang w:eastAsia="zh-CN"/>
        </w:rPr>
        <w:t>县工商联</w:t>
      </w:r>
      <w:r>
        <w:rPr>
          <w:rFonts w:hint="eastAsia" w:ascii="仿宋_GB2312" w:eastAsia="仿宋_GB2312" w:cs="楷体_GB2312"/>
          <w:sz w:val="32"/>
          <w:szCs w:val="32"/>
        </w:rPr>
        <w:t>、</w:t>
      </w:r>
      <w:r>
        <w:rPr>
          <w:rFonts w:hint="eastAsia" w:ascii="仿宋_GB2312" w:eastAsia="仿宋_GB2312" w:cs="楷体_GB2312"/>
          <w:sz w:val="32"/>
          <w:szCs w:val="32"/>
          <w:lang w:eastAsia="zh-CN"/>
        </w:rPr>
        <w:t>县商务局</w:t>
      </w:r>
      <w:r>
        <w:rPr>
          <w:rFonts w:hint="eastAsia" w:ascii="仿宋_GB2312" w:eastAsia="仿宋_GB2312" w:cs="楷体_GB2312"/>
          <w:sz w:val="32"/>
          <w:szCs w:val="32"/>
        </w:rPr>
        <w:t>、</w:t>
      </w:r>
      <w:r>
        <w:rPr>
          <w:rFonts w:hint="eastAsia" w:ascii="仿宋_GB2312" w:eastAsia="仿宋_GB2312" w:cs="楷体_GB2312"/>
          <w:sz w:val="32"/>
          <w:szCs w:val="32"/>
          <w:lang w:val="en-US" w:eastAsia="zh-CN"/>
        </w:rPr>
        <w:t>县教育局、</w:t>
      </w:r>
      <w:r>
        <w:rPr>
          <w:rFonts w:hint="eastAsia" w:ascii="仿宋_GB2312" w:eastAsia="仿宋_GB2312" w:cs="楷体_GB2312"/>
          <w:sz w:val="32"/>
          <w:szCs w:val="32"/>
          <w:lang w:eastAsia="zh-CN"/>
        </w:rPr>
        <w:t>县优化办</w:t>
      </w:r>
      <w:r>
        <w:rPr>
          <w:rFonts w:hint="eastAsia" w:ascii="仿宋_GB2312" w:eastAsia="仿宋_GB2312" w:cs="楷体_GB2312"/>
          <w:sz w:val="32"/>
          <w:szCs w:val="32"/>
        </w:rPr>
        <w:t>等按职能分工负责</w:t>
      </w:r>
      <w:r>
        <w:rPr>
          <w:rFonts w:hint="eastAsia" w:ascii="仿宋_GB2312" w:eastAsia="仿宋_GB2312" w:cs="楷体_GB2312"/>
          <w:sz w:val="32"/>
          <w:szCs w:val="32"/>
          <w:lang w:eastAsia="zh-CN"/>
        </w:rPr>
        <w:t>）</w:t>
      </w:r>
    </w:p>
    <w:p w14:paraId="76CF55EB">
      <w:pPr>
        <w:keepNext w:val="0"/>
        <w:keepLines w:val="0"/>
        <w:pageBreakBefore w:val="0"/>
        <w:widowControl w:val="0"/>
        <w:kinsoku/>
        <w:wordWrap/>
        <w:overflowPunct/>
        <w:topLinePunct w:val="0"/>
        <w:autoSpaceDE/>
        <w:autoSpaceDN/>
        <w:bidi w:val="0"/>
        <w:adjustRightInd/>
        <w:snapToGrid/>
        <w:spacing w:line="540" w:lineRule="exact"/>
        <w:ind w:left="0" w:firstLine="640" w:firstLineChars="200"/>
        <w:textAlignment w:val="auto"/>
        <w:rPr>
          <w:rFonts w:hint="eastAsia" w:ascii="楷体_GB2312" w:eastAsia="楷体_GB2312" w:cs="楷体_GB2312"/>
          <w:sz w:val="32"/>
          <w:szCs w:val="32"/>
          <w:lang w:eastAsia="zh-CN"/>
        </w:rPr>
      </w:pPr>
      <w:r>
        <w:rPr>
          <w:rFonts w:hint="eastAsia" w:ascii="楷体_GB2312" w:eastAsia="楷体_GB2312" w:cs="楷体_GB2312"/>
          <w:sz w:val="32"/>
          <w:szCs w:val="32"/>
          <w:lang w:eastAsia="zh-CN"/>
        </w:rPr>
        <w:t>（五）着力优信用重承诺</w:t>
      </w:r>
    </w:p>
    <w:p w14:paraId="53EF6DF4">
      <w:pPr>
        <w:keepNext w:val="0"/>
        <w:keepLines w:val="0"/>
        <w:pageBreakBefore w:val="0"/>
        <w:widowControl w:val="0"/>
        <w:kinsoku/>
        <w:wordWrap/>
        <w:overflowPunct/>
        <w:topLinePunct w:val="0"/>
        <w:autoSpaceDE/>
        <w:autoSpaceDN/>
        <w:bidi w:val="0"/>
        <w:adjustRightInd/>
        <w:snapToGrid/>
        <w:spacing w:line="540" w:lineRule="exact"/>
        <w:ind w:left="0" w:firstLine="643" w:firstLineChars="200"/>
        <w:textAlignment w:val="auto"/>
        <w:rPr>
          <w:rFonts w:hint="eastAsia" w:ascii="仿宋_GB2312" w:eastAsia="仿宋_GB2312" w:cs="楷体_GB2312"/>
          <w:sz w:val="32"/>
          <w:szCs w:val="32"/>
        </w:rPr>
      </w:pPr>
      <w:r>
        <w:rPr>
          <w:rFonts w:hint="eastAsia" w:ascii="仿宋_GB2312" w:eastAsia="仿宋_GB2312" w:cs="仿宋_GB2312"/>
          <w:b/>
          <w:bCs/>
          <w:sz w:val="32"/>
          <w:szCs w:val="32"/>
        </w:rPr>
        <w:t>1</w:t>
      </w:r>
      <w:r>
        <w:rPr>
          <w:rFonts w:hint="eastAsia" w:ascii="仿宋_GB2312" w:eastAsia="仿宋_GB2312" w:cs="仿宋_GB2312"/>
          <w:b/>
          <w:bCs/>
          <w:sz w:val="32"/>
          <w:szCs w:val="32"/>
          <w:lang w:eastAsia="zh-CN"/>
        </w:rPr>
        <w:t>.</w:t>
      </w:r>
      <w:r>
        <w:rPr>
          <w:rFonts w:hint="eastAsia" w:ascii="仿宋_GB2312" w:eastAsia="仿宋_GB2312" w:cs="仿宋_GB2312"/>
          <w:b/>
          <w:bCs/>
          <w:sz w:val="32"/>
          <w:szCs w:val="32"/>
        </w:rPr>
        <w:t>完善政府诚信履约机制。</w:t>
      </w:r>
      <w:r>
        <w:rPr>
          <w:rFonts w:hint="eastAsia" w:ascii="仿宋_GB2312" w:eastAsia="仿宋_GB2312" w:cs="仿宋_GB2312"/>
          <w:sz w:val="32"/>
          <w:szCs w:val="32"/>
        </w:rPr>
        <w:t>将合法性审查和公平竞争审查作为政府作出招商引资承诺的前置程序，明确审查主体、</w:t>
      </w:r>
      <w:r>
        <w:rPr>
          <w:rFonts w:hint="eastAsia" w:ascii="仿宋_GB2312" w:eastAsia="仿宋_GB2312" w:cs="仿宋_GB2312"/>
          <w:sz w:val="32"/>
          <w:szCs w:val="32"/>
          <w:lang w:eastAsia="zh-CN"/>
        </w:rPr>
        <w:t>审查标准、</w:t>
      </w:r>
      <w:r>
        <w:rPr>
          <w:rFonts w:hint="eastAsia" w:ascii="仿宋_GB2312" w:eastAsia="仿宋_GB2312" w:cs="仿宋_GB2312"/>
          <w:sz w:val="32"/>
          <w:szCs w:val="32"/>
        </w:rPr>
        <w:t>方式、流程和审查重点内容等。依托现有电子政务平台开展政府合同履约智能化管理，动态监控付款进度、办结时间等关键节点数据，实现签约及时录入、履约全程监管、异常预警提醒、违约失信记录的闭环管理。建立健全政务失信记录和惩戒制度。按照尊重历史、实事求是、依法依规等原则，及时妥善处理历史遗留问题。</w:t>
      </w:r>
      <w:r>
        <w:rPr>
          <w:rFonts w:hint="eastAsia" w:ascii="仿宋_GB2312" w:eastAsia="仿宋_GB2312" w:cs="楷体_GB2312"/>
          <w:sz w:val="32"/>
          <w:szCs w:val="32"/>
          <w:lang w:eastAsia="zh-CN"/>
        </w:rPr>
        <w:t>（县司法局</w:t>
      </w:r>
      <w:r>
        <w:rPr>
          <w:rFonts w:hint="eastAsia" w:ascii="仿宋_GB2312" w:eastAsia="仿宋_GB2312" w:cs="楷体_GB2312"/>
          <w:sz w:val="32"/>
          <w:szCs w:val="32"/>
        </w:rPr>
        <w:t>、</w:t>
      </w:r>
      <w:r>
        <w:rPr>
          <w:rFonts w:hint="eastAsia" w:ascii="仿宋_GB2312" w:eastAsia="仿宋_GB2312" w:cs="楷体_GB2312"/>
          <w:sz w:val="32"/>
          <w:szCs w:val="32"/>
          <w:lang w:eastAsia="zh-CN"/>
        </w:rPr>
        <w:t>县市场监管局</w:t>
      </w:r>
      <w:r>
        <w:rPr>
          <w:rFonts w:hint="eastAsia" w:ascii="仿宋_GB2312" w:eastAsia="仿宋_GB2312" w:cs="楷体_GB2312"/>
          <w:sz w:val="32"/>
          <w:szCs w:val="32"/>
        </w:rPr>
        <w:t>、</w:t>
      </w:r>
      <w:r>
        <w:rPr>
          <w:rFonts w:hint="eastAsia" w:ascii="仿宋_GB2312" w:eastAsia="仿宋_GB2312" w:cs="楷体_GB2312"/>
          <w:sz w:val="32"/>
          <w:szCs w:val="32"/>
          <w:lang w:eastAsia="zh-CN"/>
        </w:rPr>
        <w:t>县发展改革局</w:t>
      </w:r>
      <w:r>
        <w:rPr>
          <w:rFonts w:hint="eastAsia" w:ascii="仿宋_GB2312" w:eastAsia="仿宋_GB2312" w:cs="楷体_GB2312"/>
          <w:sz w:val="32"/>
          <w:szCs w:val="32"/>
        </w:rPr>
        <w:t>、</w:t>
      </w:r>
      <w:r>
        <w:rPr>
          <w:rFonts w:hint="eastAsia" w:ascii="仿宋_GB2312" w:eastAsia="仿宋_GB2312" w:cs="楷体_GB2312"/>
          <w:sz w:val="32"/>
          <w:szCs w:val="32"/>
          <w:lang w:eastAsia="zh-CN"/>
        </w:rPr>
        <w:t>县商务局</w:t>
      </w:r>
      <w:r>
        <w:rPr>
          <w:rFonts w:hint="eastAsia" w:ascii="仿宋_GB2312" w:eastAsia="仿宋_GB2312" w:cs="楷体_GB2312"/>
          <w:sz w:val="32"/>
          <w:szCs w:val="32"/>
        </w:rPr>
        <w:t>、</w:t>
      </w:r>
      <w:r>
        <w:rPr>
          <w:rFonts w:hint="eastAsia" w:ascii="仿宋_GB2312" w:eastAsia="仿宋_GB2312" w:cs="楷体_GB2312"/>
          <w:sz w:val="32"/>
          <w:szCs w:val="32"/>
          <w:lang w:eastAsia="zh-CN"/>
        </w:rPr>
        <w:t>县财政局</w:t>
      </w:r>
      <w:r>
        <w:rPr>
          <w:rFonts w:hint="eastAsia" w:ascii="仿宋_GB2312" w:eastAsia="仿宋_GB2312" w:cs="楷体_GB2312"/>
          <w:sz w:val="32"/>
          <w:szCs w:val="32"/>
        </w:rPr>
        <w:t>、</w:t>
      </w:r>
      <w:r>
        <w:rPr>
          <w:rFonts w:hint="eastAsia" w:ascii="仿宋_GB2312" w:eastAsia="仿宋_GB2312" w:cs="楷体_GB2312"/>
          <w:sz w:val="32"/>
          <w:szCs w:val="32"/>
          <w:lang w:eastAsia="zh-CN"/>
        </w:rPr>
        <w:t>县审计局</w:t>
      </w:r>
      <w:r>
        <w:rPr>
          <w:rFonts w:hint="eastAsia" w:ascii="仿宋_GB2312" w:eastAsia="仿宋_GB2312" w:cs="楷体_GB2312"/>
          <w:sz w:val="32"/>
          <w:szCs w:val="32"/>
        </w:rPr>
        <w:t>按职能分工负责</w:t>
      </w:r>
      <w:r>
        <w:rPr>
          <w:rFonts w:hint="eastAsia" w:ascii="仿宋_GB2312" w:eastAsia="仿宋_GB2312" w:cs="楷体_GB2312"/>
          <w:sz w:val="32"/>
          <w:szCs w:val="32"/>
          <w:lang w:eastAsia="zh-CN"/>
        </w:rPr>
        <w:t>）</w:t>
      </w:r>
    </w:p>
    <w:p w14:paraId="45CD4CBB">
      <w:pPr>
        <w:keepNext w:val="0"/>
        <w:keepLines w:val="0"/>
        <w:pageBreakBefore w:val="0"/>
        <w:widowControl w:val="0"/>
        <w:kinsoku/>
        <w:wordWrap/>
        <w:overflowPunct/>
        <w:topLinePunct w:val="0"/>
        <w:autoSpaceDE/>
        <w:autoSpaceDN/>
        <w:bidi w:val="0"/>
        <w:adjustRightInd/>
        <w:snapToGrid/>
        <w:spacing w:line="540" w:lineRule="exact"/>
        <w:ind w:left="0" w:firstLine="643" w:firstLineChars="200"/>
        <w:textAlignment w:val="auto"/>
        <w:rPr>
          <w:rFonts w:hint="eastAsia" w:ascii="仿宋_GB2312" w:eastAsia="仿宋_GB2312" w:cs="楷体_GB2312"/>
          <w:sz w:val="32"/>
          <w:szCs w:val="32"/>
        </w:rPr>
      </w:pPr>
      <w:r>
        <w:rPr>
          <w:rFonts w:hint="eastAsia" w:ascii="仿宋_GB2312" w:eastAsia="仿宋_GB2312" w:cs="仿宋_GB2312"/>
          <w:b/>
          <w:bCs/>
          <w:sz w:val="32"/>
          <w:szCs w:val="32"/>
        </w:rPr>
        <w:t>2.加强信用信息共享应用。</w:t>
      </w:r>
      <w:r>
        <w:rPr>
          <w:rFonts w:hint="eastAsia" w:ascii="仿宋_GB2312" w:eastAsia="仿宋_GB2312" w:cs="仿宋_GB2312"/>
          <w:sz w:val="32"/>
          <w:szCs w:val="32"/>
        </w:rPr>
        <w:t>出</w:t>
      </w:r>
      <w:r>
        <w:rPr>
          <w:rFonts w:hint="eastAsia" w:ascii="仿宋_GB2312" w:eastAsia="仿宋_GB2312" w:cs="仿宋_GB2312"/>
          <w:spacing w:val="-6"/>
          <w:sz w:val="32"/>
          <w:szCs w:val="32"/>
        </w:rPr>
        <w:t>台《</w:t>
      </w:r>
      <w:r>
        <w:rPr>
          <w:rFonts w:hint="eastAsia" w:ascii="仿宋_GB2312" w:eastAsia="仿宋_GB2312" w:cs="仿宋_GB2312"/>
          <w:spacing w:val="-6"/>
          <w:sz w:val="32"/>
          <w:szCs w:val="32"/>
          <w:lang w:val="en-US" w:eastAsia="zh-CN"/>
        </w:rPr>
        <w:t>沅陵县</w:t>
      </w:r>
      <w:r>
        <w:rPr>
          <w:rFonts w:hint="eastAsia" w:ascii="仿宋_GB2312" w:eastAsia="仿宋_GB2312" w:cs="仿宋_GB2312"/>
          <w:spacing w:val="-6"/>
          <w:sz w:val="32"/>
          <w:szCs w:val="32"/>
        </w:rPr>
        <w:t>公共信用信息目录》。</w:t>
      </w:r>
      <w:r>
        <w:rPr>
          <w:rFonts w:hint="eastAsia" w:ascii="仿宋_GB2312" w:eastAsia="仿宋_GB2312" w:cs="仿宋_GB2312"/>
          <w:spacing w:val="6"/>
          <w:sz w:val="32"/>
          <w:szCs w:val="32"/>
        </w:rPr>
        <w:t>开展信用信息归集百日攻坚行动，探索建设全</w:t>
      </w:r>
      <w:r>
        <w:rPr>
          <w:rFonts w:hint="eastAsia" w:ascii="仿宋_GB2312" w:eastAsia="仿宋_GB2312" w:cs="仿宋_GB2312"/>
          <w:spacing w:val="6"/>
          <w:sz w:val="32"/>
          <w:szCs w:val="32"/>
          <w:lang w:val="en-US" w:eastAsia="zh-CN"/>
        </w:rPr>
        <w:t>县</w:t>
      </w:r>
      <w:r>
        <w:rPr>
          <w:rFonts w:hint="eastAsia" w:ascii="仿宋_GB2312" w:eastAsia="仿宋_GB2312" w:cs="仿宋_GB2312"/>
          <w:spacing w:val="6"/>
          <w:sz w:val="32"/>
          <w:szCs w:val="32"/>
        </w:rPr>
        <w:t>统一的公共信用信息基础数据库。更新发布</w:t>
      </w:r>
      <w:r>
        <w:rPr>
          <w:rFonts w:hint="eastAsia" w:ascii="仿宋_GB2312" w:eastAsia="仿宋_GB2312" w:cs="仿宋_GB2312"/>
          <w:spacing w:val="6"/>
          <w:sz w:val="32"/>
          <w:szCs w:val="32"/>
          <w:lang w:val="en-US" w:eastAsia="zh-CN"/>
        </w:rPr>
        <w:t>县</w:t>
      </w:r>
      <w:r>
        <w:rPr>
          <w:rFonts w:hint="eastAsia" w:ascii="仿宋_GB2312" w:eastAsia="仿宋_GB2312" w:cs="仿宋_GB2312"/>
          <w:spacing w:val="6"/>
          <w:sz w:val="32"/>
          <w:szCs w:val="32"/>
        </w:rPr>
        <w:t>级信用核查校验、信用评价和分级分类监管、信用承诺三张清单。完善失信主体信用修复机制。完善信用约束机制，依法依规按照全国失信惩戒措施基础清单对责任主体实施惩戒。推广应用一批成熟的信用示范场景。</w:t>
      </w:r>
      <w:r>
        <w:rPr>
          <w:rFonts w:hint="eastAsia" w:ascii="仿宋_GB2312" w:eastAsia="仿宋_GB2312" w:cs="楷体_GB2312"/>
          <w:spacing w:val="6"/>
          <w:sz w:val="32"/>
          <w:szCs w:val="32"/>
          <w:lang w:eastAsia="zh-CN"/>
        </w:rPr>
        <w:t>（县发展改革局</w:t>
      </w:r>
      <w:r>
        <w:rPr>
          <w:rFonts w:hint="eastAsia" w:ascii="仿宋_GB2312" w:eastAsia="仿宋_GB2312" w:cs="楷体_GB2312"/>
          <w:spacing w:val="6"/>
          <w:sz w:val="32"/>
          <w:szCs w:val="32"/>
        </w:rPr>
        <w:t>牵头</w:t>
      </w:r>
      <w:r>
        <w:rPr>
          <w:rFonts w:hint="eastAsia" w:ascii="仿宋_GB2312" w:eastAsia="仿宋_GB2312" w:cs="楷体_GB2312"/>
          <w:spacing w:val="6"/>
          <w:sz w:val="32"/>
          <w:szCs w:val="32"/>
          <w:lang w:eastAsia="zh-CN"/>
        </w:rPr>
        <w:t>）</w:t>
      </w:r>
    </w:p>
    <w:p w14:paraId="750C8042">
      <w:pPr>
        <w:keepNext w:val="0"/>
        <w:keepLines w:val="0"/>
        <w:pageBreakBefore w:val="0"/>
        <w:widowControl w:val="0"/>
        <w:kinsoku/>
        <w:wordWrap/>
        <w:overflowPunct/>
        <w:topLinePunct w:val="0"/>
        <w:autoSpaceDE/>
        <w:autoSpaceDN/>
        <w:bidi w:val="0"/>
        <w:adjustRightInd/>
        <w:snapToGrid/>
        <w:spacing w:line="540" w:lineRule="exact"/>
        <w:ind w:left="0" w:firstLine="643" w:firstLineChars="200"/>
        <w:textAlignment w:val="auto"/>
        <w:rPr>
          <w:rFonts w:hint="eastAsia" w:ascii="仿宋_GB2312" w:eastAsia="仿宋_GB2312" w:cs="楷体_GB2312"/>
          <w:spacing w:val="-6"/>
          <w:sz w:val="32"/>
          <w:szCs w:val="32"/>
          <w:lang w:eastAsia="zh-CN"/>
        </w:rPr>
      </w:pPr>
      <w:r>
        <w:rPr>
          <w:rFonts w:hint="eastAsia" w:ascii="仿宋_GB2312" w:eastAsia="仿宋_GB2312" w:cs="仿宋_GB2312"/>
          <w:b/>
          <w:bCs/>
          <w:sz w:val="32"/>
          <w:szCs w:val="32"/>
        </w:rPr>
        <w:t>3.落实解决拖欠账款问题长效机制。</w:t>
      </w:r>
      <w:r>
        <w:rPr>
          <w:rFonts w:hint="eastAsia" w:ascii="仿宋_GB2312" w:eastAsia="仿宋_GB2312" w:cs="仿宋_GB2312"/>
          <w:sz w:val="32"/>
          <w:szCs w:val="32"/>
        </w:rPr>
        <w:t>高效排查化解机关、事业单位和国有企业拖欠中小企业账款，全面完成清欠专项行动任务。加大拖欠企业账款投诉线索受理办理力度，探索建立“连环债”清偿机制、加力整治拖欠企业账款。健全法规制度，加强政府投资项目、政府采购项目审批管理和政府投资资金预算管理、严防新增拖欠。</w:t>
      </w:r>
      <w:r>
        <w:rPr>
          <w:rFonts w:hint="eastAsia" w:ascii="仿宋_GB2312" w:eastAsia="仿宋_GB2312" w:cs="楷体_GB2312"/>
          <w:spacing w:val="-6"/>
          <w:sz w:val="32"/>
          <w:szCs w:val="32"/>
          <w:lang w:eastAsia="zh-CN"/>
        </w:rPr>
        <w:t>（</w:t>
      </w:r>
      <w:r>
        <w:rPr>
          <w:rFonts w:hint="eastAsia" w:ascii="仿宋_GB2312" w:eastAsia="仿宋_GB2312" w:cs="楷体_GB2312"/>
          <w:spacing w:val="-6"/>
          <w:sz w:val="32"/>
          <w:szCs w:val="32"/>
          <w:lang w:val="en-US" w:eastAsia="zh-CN"/>
        </w:rPr>
        <w:t>县</w:t>
      </w:r>
      <w:r>
        <w:rPr>
          <w:rFonts w:hint="eastAsia" w:ascii="仿宋_GB2312" w:eastAsia="仿宋_GB2312" w:cs="楷体_GB2312"/>
          <w:spacing w:val="-6"/>
          <w:sz w:val="32"/>
          <w:szCs w:val="32"/>
          <w:lang w:eastAsia="zh-CN"/>
        </w:rPr>
        <w:t>工业和信息化局、</w:t>
      </w:r>
      <w:r>
        <w:rPr>
          <w:rFonts w:hint="eastAsia" w:ascii="仿宋_GB2312" w:eastAsia="仿宋_GB2312" w:cs="楷体_GB2312"/>
          <w:spacing w:val="-6"/>
          <w:sz w:val="32"/>
          <w:szCs w:val="32"/>
          <w:lang w:val="en-US" w:eastAsia="zh-CN"/>
        </w:rPr>
        <w:t>县</w:t>
      </w:r>
      <w:r>
        <w:rPr>
          <w:rFonts w:hint="eastAsia" w:ascii="仿宋_GB2312" w:eastAsia="仿宋_GB2312" w:cs="楷体_GB2312"/>
          <w:spacing w:val="-6"/>
          <w:sz w:val="32"/>
          <w:szCs w:val="32"/>
          <w:lang w:eastAsia="zh-CN"/>
        </w:rPr>
        <w:t>财政局牵头，</w:t>
      </w:r>
      <w:r>
        <w:rPr>
          <w:rFonts w:hint="eastAsia" w:ascii="仿宋_GB2312" w:eastAsia="仿宋_GB2312" w:cs="楷体_GB2312"/>
          <w:spacing w:val="-6"/>
          <w:sz w:val="32"/>
          <w:szCs w:val="32"/>
          <w:lang w:val="en-US" w:eastAsia="zh-CN"/>
        </w:rPr>
        <w:t>县</w:t>
      </w:r>
      <w:r>
        <w:rPr>
          <w:rFonts w:hint="eastAsia" w:ascii="仿宋_GB2312" w:eastAsia="仿宋_GB2312" w:cs="楷体_GB2312"/>
          <w:spacing w:val="-6"/>
          <w:sz w:val="32"/>
          <w:szCs w:val="32"/>
          <w:lang w:eastAsia="zh-CN"/>
        </w:rPr>
        <w:t>审计局、</w:t>
      </w:r>
      <w:r>
        <w:rPr>
          <w:rFonts w:hint="eastAsia" w:ascii="仿宋_GB2312" w:eastAsia="仿宋_GB2312" w:cs="楷体_GB2312"/>
          <w:spacing w:val="-6"/>
          <w:sz w:val="32"/>
          <w:szCs w:val="32"/>
          <w:lang w:val="en-US" w:eastAsia="zh-CN"/>
        </w:rPr>
        <w:t>县</w:t>
      </w:r>
      <w:r>
        <w:rPr>
          <w:rFonts w:hint="eastAsia" w:ascii="仿宋_GB2312" w:eastAsia="仿宋_GB2312" w:cs="楷体_GB2312"/>
          <w:spacing w:val="-6"/>
          <w:sz w:val="32"/>
          <w:szCs w:val="32"/>
          <w:lang w:eastAsia="zh-CN"/>
        </w:rPr>
        <w:t>发展改革局、</w:t>
      </w:r>
      <w:r>
        <w:rPr>
          <w:rFonts w:hint="eastAsia" w:ascii="仿宋_GB2312" w:eastAsia="仿宋_GB2312" w:cs="楷体_GB2312"/>
          <w:spacing w:val="-6"/>
          <w:sz w:val="32"/>
          <w:szCs w:val="32"/>
          <w:lang w:val="en-US" w:eastAsia="zh-CN"/>
        </w:rPr>
        <w:t>县金改办</w:t>
      </w:r>
      <w:r>
        <w:rPr>
          <w:rFonts w:hint="eastAsia" w:ascii="仿宋_GB2312" w:eastAsia="仿宋_GB2312" w:cs="楷体_GB2312"/>
          <w:spacing w:val="-6"/>
          <w:sz w:val="32"/>
          <w:szCs w:val="32"/>
          <w:lang w:eastAsia="zh-CN"/>
        </w:rPr>
        <w:t>等按职能分工负责）</w:t>
      </w:r>
    </w:p>
    <w:p w14:paraId="542EB54F">
      <w:pPr>
        <w:keepNext w:val="0"/>
        <w:keepLines w:val="0"/>
        <w:pageBreakBefore w:val="0"/>
        <w:widowControl w:val="0"/>
        <w:kinsoku/>
        <w:wordWrap/>
        <w:overflowPunct/>
        <w:topLinePunct w:val="0"/>
        <w:autoSpaceDE/>
        <w:autoSpaceDN/>
        <w:adjustRightInd/>
        <w:snapToGrid/>
        <w:spacing w:line="540" w:lineRule="exact"/>
        <w:ind w:left="0" w:firstLine="640" w:firstLineChars="200"/>
        <w:rPr>
          <w:rFonts w:hint="eastAsia" w:ascii="黑体" w:eastAsia="黑体" w:cs="黑体"/>
          <w:szCs w:val="32"/>
        </w:rPr>
      </w:pPr>
      <w:r>
        <w:rPr>
          <w:rFonts w:hint="eastAsia" w:ascii="黑体" w:eastAsia="黑体" w:cs="黑体"/>
          <w:szCs w:val="32"/>
        </w:rPr>
        <w:t>三、推进机制</w:t>
      </w:r>
    </w:p>
    <w:p w14:paraId="6DD06B29">
      <w:pPr>
        <w:keepNext w:val="0"/>
        <w:keepLines w:val="0"/>
        <w:pageBreakBefore w:val="0"/>
        <w:widowControl w:val="0"/>
        <w:kinsoku/>
        <w:wordWrap/>
        <w:overflowPunct/>
        <w:topLinePunct w:val="0"/>
        <w:autoSpaceDE/>
        <w:autoSpaceDN/>
        <w:bidi w:val="0"/>
        <w:adjustRightInd/>
        <w:snapToGrid/>
        <w:spacing w:line="540" w:lineRule="exact"/>
        <w:ind w:left="0" w:firstLine="640" w:firstLineChars="200"/>
        <w:textAlignment w:val="auto"/>
        <w:rPr>
          <w:rFonts w:hint="eastAsia" w:ascii="仿宋_GB2312" w:eastAsia="仿宋_GB2312"/>
        </w:rPr>
      </w:pPr>
      <w:r>
        <w:rPr>
          <w:rFonts w:hint="eastAsia" w:ascii="仿宋_GB2312" w:eastAsia="仿宋_GB2312" w:cs="仿宋_GB2312"/>
          <w:sz w:val="32"/>
          <w:szCs w:val="32"/>
        </w:rPr>
        <w:t>成立环境优化提升攻坚工作专班，由</w:t>
      </w:r>
      <w:r>
        <w:rPr>
          <w:rFonts w:hint="eastAsia" w:ascii="仿宋_GB2312" w:eastAsia="仿宋_GB2312" w:cs="仿宋_GB2312"/>
          <w:sz w:val="32"/>
          <w:szCs w:val="32"/>
          <w:lang w:val="en-US" w:eastAsia="zh-CN"/>
        </w:rPr>
        <w:t>县政府办公室联系副主任</w:t>
      </w:r>
      <w:r>
        <w:rPr>
          <w:rFonts w:hint="eastAsia" w:ascii="仿宋_GB2312" w:eastAsia="仿宋_GB2312" w:cs="仿宋_GB2312"/>
          <w:sz w:val="32"/>
          <w:szCs w:val="32"/>
        </w:rPr>
        <w:t>担任召集人，</w:t>
      </w:r>
      <w:r>
        <w:rPr>
          <w:rFonts w:hint="eastAsia" w:ascii="仿宋_GB2312" w:eastAsia="仿宋_GB2312" w:cs="仿宋_GB2312"/>
          <w:sz w:val="32"/>
          <w:szCs w:val="32"/>
          <w:lang w:eastAsia="zh-CN"/>
        </w:rPr>
        <w:t>县优化办</w:t>
      </w:r>
      <w:r>
        <w:rPr>
          <w:rFonts w:hint="eastAsia" w:ascii="仿宋_GB2312" w:eastAsia="仿宋_GB2312" w:cs="仿宋_GB2312"/>
          <w:sz w:val="32"/>
          <w:szCs w:val="32"/>
        </w:rPr>
        <w:t>主要负责人任副召集人，成员单位包括</w:t>
      </w:r>
      <w:r>
        <w:rPr>
          <w:rFonts w:hint="eastAsia" w:ascii="仿宋_GB2312" w:eastAsia="仿宋_GB2312" w:cs="仿宋_GB2312"/>
          <w:sz w:val="32"/>
          <w:szCs w:val="32"/>
          <w:lang w:eastAsia="zh-CN"/>
        </w:rPr>
        <w:t>县发展改革局</w:t>
      </w:r>
      <w:r>
        <w:rPr>
          <w:rFonts w:hint="eastAsia" w:ascii="仿宋_GB2312" w:eastAsia="仿宋_GB2312" w:cs="仿宋_GB2312"/>
          <w:sz w:val="32"/>
          <w:szCs w:val="32"/>
        </w:rPr>
        <w:t>、</w:t>
      </w:r>
      <w:r>
        <w:rPr>
          <w:rFonts w:hint="eastAsia" w:ascii="仿宋_GB2312" w:eastAsia="仿宋_GB2312" w:cs="仿宋_GB2312"/>
          <w:sz w:val="32"/>
          <w:szCs w:val="32"/>
          <w:lang w:eastAsia="zh-CN"/>
        </w:rPr>
        <w:t>县人民法院</w:t>
      </w:r>
      <w:r>
        <w:rPr>
          <w:rFonts w:hint="eastAsia" w:ascii="仿宋_GB2312" w:eastAsia="仿宋_GB2312" w:cs="仿宋_GB2312"/>
          <w:sz w:val="32"/>
          <w:szCs w:val="32"/>
        </w:rPr>
        <w:t>、</w:t>
      </w:r>
      <w:r>
        <w:rPr>
          <w:rFonts w:hint="eastAsia" w:ascii="仿宋_GB2312" w:eastAsia="仿宋_GB2312" w:cs="仿宋_GB2312"/>
          <w:sz w:val="32"/>
          <w:szCs w:val="32"/>
          <w:lang w:eastAsia="zh-CN"/>
        </w:rPr>
        <w:t>县人民检察院</w:t>
      </w:r>
      <w:r>
        <w:rPr>
          <w:rFonts w:hint="eastAsia" w:ascii="仿宋_GB2312" w:eastAsia="仿宋_GB2312" w:cs="仿宋_GB2312"/>
          <w:sz w:val="32"/>
          <w:szCs w:val="32"/>
        </w:rPr>
        <w:t>、</w:t>
      </w:r>
      <w:r>
        <w:rPr>
          <w:rFonts w:hint="eastAsia" w:ascii="仿宋_GB2312" w:eastAsia="仿宋_GB2312" w:cs="仿宋_GB2312"/>
          <w:sz w:val="32"/>
          <w:szCs w:val="32"/>
          <w:lang w:eastAsia="zh-CN"/>
        </w:rPr>
        <w:t>县商务局</w:t>
      </w:r>
      <w:r>
        <w:rPr>
          <w:rFonts w:hint="eastAsia" w:ascii="仿宋_GB2312" w:eastAsia="仿宋_GB2312" w:cs="仿宋_GB2312"/>
          <w:sz w:val="32"/>
          <w:szCs w:val="32"/>
        </w:rPr>
        <w:t>、</w:t>
      </w:r>
      <w:r>
        <w:rPr>
          <w:rFonts w:hint="eastAsia" w:ascii="仿宋_GB2312" w:eastAsia="仿宋_GB2312" w:cs="仿宋_GB2312"/>
          <w:sz w:val="32"/>
          <w:szCs w:val="32"/>
          <w:lang w:val="en-US" w:eastAsia="zh-CN"/>
        </w:rPr>
        <w:t>县公安局、县教育局、</w:t>
      </w:r>
      <w:r>
        <w:rPr>
          <w:rFonts w:hint="eastAsia" w:ascii="仿宋_GB2312" w:eastAsia="仿宋_GB2312" w:cs="仿宋_GB2312"/>
          <w:sz w:val="32"/>
          <w:szCs w:val="32"/>
          <w:lang w:eastAsia="zh-CN"/>
        </w:rPr>
        <w:t>县科技局</w:t>
      </w:r>
      <w:r>
        <w:rPr>
          <w:rFonts w:hint="eastAsia" w:ascii="仿宋_GB2312" w:eastAsia="仿宋_GB2312" w:cs="仿宋_GB2312"/>
          <w:sz w:val="32"/>
          <w:szCs w:val="32"/>
        </w:rPr>
        <w:t>、</w:t>
      </w:r>
      <w:r>
        <w:rPr>
          <w:rFonts w:hint="eastAsia" w:ascii="仿宋_GB2312" w:eastAsia="仿宋_GB2312" w:cs="仿宋_GB2312"/>
          <w:sz w:val="32"/>
          <w:szCs w:val="32"/>
          <w:lang w:eastAsia="zh-CN"/>
        </w:rPr>
        <w:t>县金改办</w:t>
      </w:r>
      <w:r>
        <w:rPr>
          <w:rFonts w:hint="eastAsia" w:ascii="仿宋_GB2312" w:eastAsia="仿宋_GB2312" w:cs="仿宋_GB2312"/>
          <w:sz w:val="32"/>
          <w:szCs w:val="32"/>
        </w:rPr>
        <w:t>、</w:t>
      </w:r>
      <w:r>
        <w:rPr>
          <w:rFonts w:hint="eastAsia" w:ascii="仿宋_GB2312" w:eastAsia="仿宋_GB2312" w:cs="仿宋_GB2312"/>
          <w:sz w:val="32"/>
          <w:szCs w:val="32"/>
          <w:lang w:eastAsia="zh-CN"/>
        </w:rPr>
        <w:t>县工商联</w:t>
      </w:r>
      <w:r>
        <w:rPr>
          <w:rFonts w:hint="eastAsia" w:ascii="仿宋_GB2312" w:eastAsia="仿宋_GB2312" w:cs="仿宋_GB2312"/>
          <w:sz w:val="32"/>
          <w:szCs w:val="32"/>
        </w:rPr>
        <w:t>、</w:t>
      </w:r>
      <w:r>
        <w:rPr>
          <w:rFonts w:hint="eastAsia" w:ascii="仿宋_GB2312" w:eastAsia="仿宋_GB2312" w:cs="仿宋_GB2312"/>
          <w:sz w:val="32"/>
          <w:szCs w:val="32"/>
          <w:lang w:eastAsia="zh-CN"/>
        </w:rPr>
        <w:t>县工业和信息化局</w:t>
      </w:r>
      <w:r>
        <w:rPr>
          <w:rFonts w:hint="eastAsia" w:ascii="仿宋_GB2312" w:eastAsia="仿宋_GB2312" w:cs="仿宋_GB2312"/>
          <w:sz w:val="32"/>
          <w:szCs w:val="32"/>
        </w:rPr>
        <w:t>、</w:t>
      </w:r>
      <w:r>
        <w:rPr>
          <w:rFonts w:hint="eastAsia" w:ascii="仿宋_GB2312" w:eastAsia="仿宋_GB2312" w:cs="仿宋_GB2312"/>
          <w:sz w:val="32"/>
          <w:szCs w:val="32"/>
          <w:lang w:val="en-US" w:eastAsia="zh-CN"/>
        </w:rPr>
        <w:t>县交通运输局、</w:t>
      </w:r>
      <w:r>
        <w:rPr>
          <w:rFonts w:hint="eastAsia" w:ascii="仿宋_GB2312" w:eastAsia="仿宋_GB2312" w:cs="仿宋_GB2312"/>
          <w:sz w:val="32"/>
          <w:szCs w:val="32"/>
          <w:lang w:eastAsia="zh-CN"/>
        </w:rPr>
        <w:t>县司法局</w:t>
      </w:r>
      <w:r>
        <w:rPr>
          <w:rFonts w:hint="eastAsia" w:ascii="仿宋_GB2312" w:eastAsia="仿宋_GB2312" w:cs="仿宋_GB2312"/>
          <w:sz w:val="32"/>
          <w:szCs w:val="32"/>
        </w:rPr>
        <w:t>、</w:t>
      </w:r>
      <w:r>
        <w:rPr>
          <w:rFonts w:hint="eastAsia" w:ascii="仿宋_GB2312" w:eastAsia="仿宋_GB2312" w:cs="仿宋_GB2312"/>
          <w:sz w:val="32"/>
          <w:szCs w:val="32"/>
          <w:lang w:eastAsia="zh-CN"/>
        </w:rPr>
        <w:t>县财政局</w:t>
      </w:r>
      <w:r>
        <w:rPr>
          <w:rFonts w:hint="eastAsia" w:ascii="仿宋_GB2312" w:eastAsia="仿宋_GB2312" w:cs="仿宋_GB2312"/>
          <w:sz w:val="32"/>
          <w:szCs w:val="32"/>
        </w:rPr>
        <w:t>、</w:t>
      </w:r>
      <w:r>
        <w:rPr>
          <w:rFonts w:hint="eastAsia" w:ascii="仿宋_GB2312" w:eastAsia="仿宋_GB2312" w:cs="仿宋_GB2312"/>
          <w:sz w:val="32"/>
          <w:szCs w:val="32"/>
          <w:lang w:eastAsia="zh-CN"/>
        </w:rPr>
        <w:t>县人力资源社会保障局</w:t>
      </w:r>
      <w:r>
        <w:rPr>
          <w:rFonts w:hint="eastAsia" w:ascii="仿宋_GB2312" w:eastAsia="仿宋_GB2312" w:cs="仿宋_GB2312"/>
          <w:sz w:val="32"/>
          <w:szCs w:val="32"/>
        </w:rPr>
        <w:t>、</w:t>
      </w:r>
      <w:r>
        <w:rPr>
          <w:rFonts w:hint="eastAsia" w:ascii="仿宋_GB2312" w:eastAsia="仿宋_GB2312" w:cs="仿宋_GB2312"/>
          <w:sz w:val="32"/>
          <w:szCs w:val="32"/>
          <w:lang w:eastAsia="zh-CN"/>
        </w:rPr>
        <w:t>县自然资源局</w:t>
      </w:r>
      <w:r>
        <w:rPr>
          <w:rFonts w:hint="eastAsia" w:ascii="仿宋_GB2312" w:eastAsia="仿宋_GB2312" w:cs="仿宋_GB2312"/>
          <w:sz w:val="32"/>
          <w:szCs w:val="32"/>
        </w:rPr>
        <w:t>、</w:t>
      </w:r>
      <w:r>
        <w:rPr>
          <w:rFonts w:hint="eastAsia" w:ascii="仿宋_GB2312" w:eastAsia="仿宋_GB2312" w:cs="仿宋_GB2312"/>
          <w:sz w:val="32"/>
          <w:szCs w:val="32"/>
          <w:lang w:eastAsia="zh-CN"/>
        </w:rPr>
        <w:t>县住房城乡建设局</w:t>
      </w:r>
      <w:r>
        <w:rPr>
          <w:rFonts w:hint="eastAsia" w:ascii="仿宋_GB2312" w:eastAsia="仿宋_GB2312" w:cs="仿宋_GB2312"/>
          <w:sz w:val="32"/>
          <w:szCs w:val="32"/>
        </w:rPr>
        <w:t>、</w:t>
      </w:r>
      <w:r>
        <w:rPr>
          <w:rFonts w:hint="eastAsia" w:ascii="仿宋_GB2312" w:eastAsia="仿宋_GB2312" w:cs="仿宋_GB2312"/>
          <w:sz w:val="32"/>
          <w:szCs w:val="32"/>
          <w:lang w:eastAsia="zh-CN"/>
        </w:rPr>
        <w:t>县市场监管局</w:t>
      </w:r>
      <w:r>
        <w:rPr>
          <w:rFonts w:hint="eastAsia" w:ascii="仿宋_GB2312" w:eastAsia="仿宋_GB2312" w:cs="仿宋_GB2312"/>
          <w:sz w:val="32"/>
          <w:szCs w:val="32"/>
        </w:rPr>
        <w:t>、</w:t>
      </w:r>
      <w:r>
        <w:rPr>
          <w:rFonts w:hint="eastAsia" w:ascii="仿宋_GB2312" w:eastAsia="仿宋_GB2312" w:cs="仿宋_GB2312"/>
          <w:sz w:val="32"/>
          <w:szCs w:val="32"/>
          <w:lang w:val="en-US" w:eastAsia="zh-CN"/>
        </w:rPr>
        <w:t>县产业开发区管委会、</w:t>
      </w:r>
      <w:r>
        <w:rPr>
          <w:rFonts w:hint="eastAsia" w:ascii="仿宋_GB2312" w:eastAsia="仿宋_GB2312" w:cs="仿宋_GB2312"/>
          <w:sz w:val="32"/>
          <w:szCs w:val="32"/>
          <w:lang w:eastAsia="zh-CN"/>
        </w:rPr>
        <w:t>国家税务总局沅陵县税务局</w:t>
      </w:r>
      <w:r>
        <w:rPr>
          <w:rFonts w:hint="eastAsia" w:ascii="仿宋_GB2312" w:eastAsia="仿宋_GB2312" w:cs="仿宋_GB2312"/>
          <w:sz w:val="32"/>
          <w:szCs w:val="32"/>
        </w:rPr>
        <w:t>、</w:t>
      </w:r>
      <w:r>
        <w:rPr>
          <w:rFonts w:hint="eastAsia" w:ascii="仿宋_GB2312" w:eastAsia="仿宋_GB2312" w:cs="仿宋_GB2312"/>
          <w:sz w:val="32"/>
          <w:szCs w:val="32"/>
          <w:lang w:val="en-US" w:eastAsia="zh-CN"/>
        </w:rPr>
        <w:t>县审计局、</w:t>
      </w:r>
      <w:r>
        <w:rPr>
          <w:rFonts w:hint="eastAsia" w:ascii="仿宋_GB2312" w:eastAsia="仿宋_GB2312" w:cs="仿宋_GB2312"/>
          <w:sz w:val="32"/>
          <w:szCs w:val="32"/>
          <w:lang w:eastAsia="zh-CN"/>
        </w:rPr>
        <w:t>县政务服务中心</w:t>
      </w:r>
      <w:r>
        <w:rPr>
          <w:rFonts w:ascii="仿宋_GB2312" w:eastAsia="仿宋_GB2312" w:cs="仿宋_GB2312"/>
          <w:sz w:val="32"/>
          <w:szCs w:val="32"/>
          <w:lang w:eastAsia="zh-CN"/>
        </w:rPr>
        <w:t>、</w:t>
      </w:r>
      <w:r>
        <w:rPr>
          <w:rFonts w:hint="eastAsia" w:ascii="仿宋_GB2312" w:eastAsia="仿宋_GB2312" w:cs="仿宋_GB2312"/>
          <w:sz w:val="32"/>
          <w:szCs w:val="32"/>
          <w:lang w:val="en-US" w:eastAsia="zh-CN"/>
        </w:rPr>
        <w:t>县数据局</w:t>
      </w:r>
      <w:r>
        <w:rPr>
          <w:rFonts w:hint="eastAsia" w:ascii="仿宋_GB2312" w:eastAsia="仿宋_GB2312" w:cs="仿宋_GB2312"/>
          <w:sz w:val="32"/>
          <w:szCs w:val="32"/>
        </w:rPr>
        <w:t>、</w:t>
      </w:r>
      <w:r>
        <w:rPr>
          <w:rFonts w:hint="eastAsia" w:ascii="仿宋_GB2312" w:eastAsia="仿宋_GB2312" w:cs="仿宋_GB2312"/>
          <w:sz w:val="32"/>
          <w:szCs w:val="32"/>
          <w:lang w:eastAsia="zh-CN"/>
        </w:rPr>
        <w:t>人民银行沅陵营管部</w:t>
      </w:r>
      <w:r>
        <w:rPr>
          <w:rFonts w:hint="eastAsia" w:ascii="仿宋_GB2312" w:eastAsia="仿宋_GB2312" w:cs="仿宋_GB2312"/>
          <w:sz w:val="32"/>
          <w:szCs w:val="32"/>
        </w:rPr>
        <w:t>、</w:t>
      </w:r>
      <w:r>
        <w:rPr>
          <w:rFonts w:hint="eastAsia" w:ascii="仿宋_GB2312" w:eastAsia="仿宋_GB2312" w:cs="仿宋_GB2312"/>
          <w:sz w:val="32"/>
          <w:szCs w:val="32"/>
          <w:lang w:eastAsia="zh-CN"/>
        </w:rPr>
        <w:t>沅陵金融监管支局</w:t>
      </w:r>
      <w:r>
        <w:rPr>
          <w:rFonts w:hint="eastAsia" w:ascii="仿宋_GB2312" w:eastAsia="仿宋_GB2312" w:cs="仿宋_GB2312"/>
          <w:sz w:val="32"/>
          <w:szCs w:val="32"/>
        </w:rPr>
        <w:t>、国网沅陵县供电公司等，专班办公室设在</w:t>
      </w:r>
      <w:r>
        <w:rPr>
          <w:rFonts w:hint="eastAsia" w:ascii="仿宋_GB2312" w:eastAsia="仿宋_GB2312" w:cs="仿宋_GB2312"/>
          <w:sz w:val="32"/>
          <w:szCs w:val="32"/>
          <w:lang w:eastAsia="zh-CN"/>
        </w:rPr>
        <w:t>县优化办</w:t>
      </w:r>
      <w:r>
        <w:rPr>
          <w:rFonts w:hint="eastAsia" w:ascii="仿宋_GB2312" w:eastAsia="仿宋_GB2312" w:cs="仿宋_GB2312"/>
          <w:sz w:val="32"/>
          <w:szCs w:val="32"/>
        </w:rPr>
        <w:t>，负责日常协调和调度工作。</w:t>
      </w:r>
    </w:p>
    <w:p w14:paraId="14EC5E4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0AFF" w:usb1="00007843" w:usb2="00000001" w:usb3="00000000" w:csb0="400001BF" w:csb1="DFF7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_GBK">
    <w:altName w:val="微软雅黑"/>
    <w:panose1 w:val="02000000000000000000"/>
    <w:charset w:val="86"/>
    <w:family w:val="auto"/>
    <w:pitch w:val="default"/>
    <w:sig w:usb0="00000000" w:usb1="00000000" w:usb2="00000000" w:usb3="00000000" w:csb0="00040000" w:csb1="00000000"/>
  </w:font>
  <w:font w:name="CESI小标宋-GB13000">
    <w:altName w:val="宋体"/>
    <w:panose1 w:val="02000500000000000000"/>
    <w:charset w:val="86"/>
    <w:family w:val="script"/>
    <w:pitch w:val="default"/>
    <w:sig w:usb0="00000000" w:usb1="00000000" w:usb2="00000016" w:usb3="00000000" w:csb0="0004000F"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6FF1A90"/>
    <w:rsid w:val="76FF1A9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unhideWhenUsed="0" w:uiPriority="0" w:semiHidden="0" w:name="heading 2"/>
    <w:lsdException w:qFormat="1" w:uiPriority="0" w:name="heading 3"/>
    <w:lsdException w:qFormat="1" w:uiPriority="0" w:name="heading 4"/>
    <w:lsdException w:qFormat="1" w:uiPriority="0" w:name="heading 5"/>
    <w:lsdException w:unhideWhenUsed="0" w:uiPriority="0" w:semiHidden="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Arial"/>
      <w:kern w:val="2"/>
      <w:sz w:val="32"/>
      <w:szCs w:val="24"/>
      <w:lang w:val="en-US" w:eastAsia="zh-CN" w:bidi="ar-SA"/>
    </w:rPr>
  </w:style>
  <w:style w:type="paragraph" w:styleId="3">
    <w:name w:val="heading 2"/>
    <w:basedOn w:val="1"/>
    <w:next w:val="1"/>
    <w:uiPriority w:val="0"/>
    <w:pPr>
      <w:keepNext/>
      <w:keepLines/>
      <w:widowControl w:val="0"/>
      <w:spacing w:before="260" w:beforeAutospacing="0" w:after="260" w:afterAutospacing="0" w:line="413" w:lineRule="auto"/>
      <w:outlineLvl w:val="1"/>
    </w:pPr>
    <w:rPr>
      <w:rFonts w:ascii="Arial" w:hAnsi="Arial" w:eastAsia="黑体"/>
      <w:b/>
      <w:sz w:val="32"/>
    </w:rPr>
  </w:style>
  <w:style w:type="paragraph" w:styleId="2">
    <w:name w:val="heading 6"/>
    <w:basedOn w:val="1"/>
    <w:next w:val="1"/>
    <w:uiPriority w:val="0"/>
    <w:pPr>
      <w:keepNext/>
      <w:keepLines/>
      <w:widowControl w:val="0"/>
      <w:spacing w:line="312" w:lineRule="auto"/>
      <w:outlineLvl w:val="5"/>
    </w:pPr>
    <w:rPr>
      <w:rFonts w:ascii="Arial" w:hAnsi="Arial" w:eastAsia="黑体"/>
      <w:b/>
      <w:bCs/>
      <w:sz w:val="24"/>
      <w:szCs w:val="24"/>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9</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2026-09-23T07:46:00Z</dcterms:created>
  <dc:creator>I</dc:creator>
  <cp:lastModifiedBy>I</cp:lastModifiedBy>
  <dcterms:modified xsi:type="dcterms:W3CDTF">2026-09-23T07:46:26Z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BFCA333F4F6646A2A1B72463252CD646_11</vt:lpwstr>
  </property>
  <property fmtid="{D5CDD505-2E9C-101B-9397-08002B2CF9AE}" pid="4" name="KSOTemplateDocerSaveRecord">
    <vt:lpwstr>eyJoZGlkIjoiNzE0NDk5MGE1ZWE4NDliODViMDM3NGVmZmU0NmEyNTciLCJ1c2VySWQiOiI2NTMxOTM3NzgifQ==</vt:lpwstr>
  </property>
</Properties>
</file>