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附</w:t>
      </w:r>
      <w:r>
        <w:rPr>
          <w:rFonts w:hint="eastAsia" w:ascii="宋体" w:hAnsi="宋体" w:cs="宋体"/>
          <w:kern w:val="0"/>
          <w:sz w:val="24"/>
          <w:lang w:eastAsia="zh-CN"/>
        </w:rPr>
        <w:t>件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</w:t>
      </w:r>
    </w:p>
    <w:p>
      <w:pPr>
        <w:ind w:firstLine="1205" w:firstLineChars="400"/>
        <w:rPr>
          <w:rFonts w:hint="eastAsia"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30"/>
          <w:szCs w:val="30"/>
        </w:rPr>
        <w:t>招标代理机构代理业绩（总分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>50</w:t>
      </w:r>
      <w:r>
        <w:rPr>
          <w:rFonts w:hint="eastAsia" w:ascii="宋体" w:hAnsi="宋体" w:eastAsia="宋体" w:cs="宋体"/>
          <w:b/>
          <w:sz w:val="30"/>
          <w:szCs w:val="30"/>
        </w:rPr>
        <w:t>分</w:t>
      </w:r>
      <w:r>
        <w:rPr>
          <w:rFonts w:hint="eastAsia" w:ascii="宋体" w:hAnsi="宋体" w:eastAsia="宋体" w:cs="宋体"/>
          <w:b/>
          <w:sz w:val="24"/>
        </w:rPr>
        <w:t>）</w:t>
      </w:r>
    </w:p>
    <w:p>
      <w:pPr>
        <w:pStyle w:val="4"/>
        <w:rPr>
          <w:rFonts w:hint="eastAsia" w:hAnsi="Times New Roman"/>
        </w:rPr>
      </w:pPr>
    </w:p>
    <w:tbl>
      <w:tblPr>
        <w:tblStyle w:val="3"/>
        <w:tblW w:w="915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1092"/>
        <w:gridCol w:w="1102"/>
        <w:gridCol w:w="3750"/>
        <w:gridCol w:w="638"/>
        <w:gridCol w:w="695"/>
        <w:gridCol w:w="720"/>
        <w:gridCol w:w="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423" w:type="dxa"/>
            <w:vMerge w:val="restart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109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内容</w:t>
            </w:r>
          </w:p>
        </w:tc>
        <w:tc>
          <w:tcPr>
            <w:tcW w:w="5490" w:type="dxa"/>
            <w:gridSpan w:val="3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评审标准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423" w:type="dxa"/>
            <w:vMerge w:val="continue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9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490" w:type="dxa"/>
            <w:gridSpan w:val="3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4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项目负责人（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4"/>
              </w:rPr>
              <w:t>分）</w:t>
            </w:r>
          </w:p>
        </w:tc>
        <w:tc>
          <w:tcPr>
            <w:tcW w:w="4852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具有中级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</w:rPr>
              <w:t>含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</w:rPr>
              <w:t>以上职称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证书的</w:t>
            </w:r>
            <w:r>
              <w:rPr>
                <w:rFonts w:hint="eastAsia" w:ascii="宋体" w:hAnsi="宋体" w:eastAsia="宋体" w:cs="宋体"/>
                <w:sz w:val="24"/>
              </w:rPr>
              <w:t>计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4"/>
              </w:rPr>
              <w:t>分</w:t>
            </w:r>
          </w:p>
        </w:tc>
        <w:tc>
          <w:tcPr>
            <w:tcW w:w="638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20</w:t>
            </w:r>
          </w:p>
        </w:tc>
        <w:tc>
          <w:tcPr>
            <w:tcW w:w="69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  <w:jc w:val="center"/>
        </w:trPr>
        <w:tc>
          <w:tcPr>
            <w:tcW w:w="4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代理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业绩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</w:rPr>
              <w:t>分）</w:t>
            </w:r>
          </w:p>
        </w:tc>
        <w:tc>
          <w:tcPr>
            <w:tcW w:w="4852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项目负责人近3年（以中标通知书的时间为准）完成过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4"/>
              </w:rPr>
              <w:t>个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高标准农田建设</w:t>
            </w:r>
            <w:r>
              <w:rPr>
                <w:rFonts w:hint="eastAsia" w:ascii="宋体" w:hAnsi="宋体" w:eastAsia="宋体" w:cs="宋体"/>
                <w:sz w:val="24"/>
              </w:rPr>
              <w:t>招标代理业绩计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</w:rPr>
              <w:t>分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。</w:t>
            </w:r>
          </w:p>
        </w:tc>
        <w:tc>
          <w:tcPr>
            <w:tcW w:w="638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</w:p>
        </w:tc>
        <w:tc>
          <w:tcPr>
            <w:tcW w:w="69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  <w:jc w:val="center"/>
        </w:trPr>
        <w:tc>
          <w:tcPr>
            <w:tcW w:w="423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专职人员</w:t>
            </w: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</w:rPr>
              <w:t>分）</w:t>
            </w:r>
          </w:p>
        </w:tc>
        <w:tc>
          <w:tcPr>
            <w:tcW w:w="4852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其他专职人员具备</w:t>
            </w:r>
            <w:r>
              <w:rPr>
                <w:rFonts w:hint="eastAsia" w:ascii="宋体" w:hAnsi="宋体" w:eastAsia="宋体" w:cs="宋体"/>
                <w:sz w:val="24"/>
              </w:rPr>
              <w:t>中级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</w:rPr>
              <w:t>含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</w:rPr>
              <w:t>以上职称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证书</w:t>
            </w:r>
            <w:r>
              <w:rPr>
                <w:rFonts w:hint="eastAsia" w:ascii="宋体" w:hAnsi="宋体" w:eastAsia="宋体" w:cs="宋体"/>
                <w:sz w:val="24"/>
              </w:rPr>
              <w:t>，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每个计5分，最高计10分。</w:t>
            </w:r>
          </w:p>
        </w:tc>
        <w:tc>
          <w:tcPr>
            <w:tcW w:w="638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</w:p>
        </w:tc>
        <w:tc>
          <w:tcPr>
            <w:tcW w:w="69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" w:hRule="atLeast"/>
          <w:jc w:val="center"/>
        </w:trPr>
        <w:tc>
          <w:tcPr>
            <w:tcW w:w="42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</w:t>
            </w:r>
          </w:p>
        </w:tc>
        <w:tc>
          <w:tcPr>
            <w:tcW w:w="109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市场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行为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（10分）</w:t>
            </w:r>
          </w:p>
        </w:tc>
        <w:tc>
          <w:tcPr>
            <w:tcW w:w="110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比选申请人</w:t>
            </w:r>
          </w:p>
        </w:tc>
        <w:tc>
          <w:tcPr>
            <w:tcW w:w="375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没有不良行为记录</w:t>
            </w:r>
          </w:p>
        </w:tc>
        <w:tc>
          <w:tcPr>
            <w:tcW w:w="6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7</w:t>
            </w:r>
          </w:p>
        </w:tc>
        <w:tc>
          <w:tcPr>
            <w:tcW w:w="695" w:type="dxa"/>
            <w:vMerge w:val="restart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Merge w:val="restart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Merge w:val="restart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" w:hRule="atLeast"/>
          <w:jc w:val="center"/>
        </w:trPr>
        <w:tc>
          <w:tcPr>
            <w:tcW w:w="4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9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0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5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每发生一次严重不良行为记录扣2分</w:t>
            </w:r>
          </w:p>
        </w:tc>
        <w:tc>
          <w:tcPr>
            <w:tcW w:w="6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95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  <w:jc w:val="center"/>
        </w:trPr>
        <w:tc>
          <w:tcPr>
            <w:tcW w:w="4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9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0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5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每发生一次一般不良行为记录扣1分</w:t>
            </w:r>
          </w:p>
        </w:tc>
        <w:tc>
          <w:tcPr>
            <w:tcW w:w="6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95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4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9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0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拟任专职人员</w:t>
            </w:r>
          </w:p>
        </w:tc>
        <w:tc>
          <w:tcPr>
            <w:tcW w:w="375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没有不良行为记录</w:t>
            </w:r>
          </w:p>
        </w:tc>
        <w:tc>
          <w:tcPr>
            <w:tcW w:w="6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695" w:type="dxa"/>
            <w:vMerge w:val="restart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Merge w:val="restart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9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0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5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每发生一次严重不良行为记录扣1分</w:t>
            </w:r>
          </w:p>
        </w:tc>
        <w:tc>
          <w:tcPr>
            <w:tcW w:w="6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95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4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9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0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5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每发生一次一般不良行为记录扣0.5分</w:t>
            </w:r>
          </w:p>
        </w:tc>
        <w:tc>
          <w:tcPr>
            <w:tcW w:w="6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95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Merge w:val="continue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582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   计</w:t>
            </w:r>
          </w:p>
        </w:tc>
        <w:tc>
          <w:tcPr>
            <w:tcW w:w="695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0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7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