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F6B05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借母溪乡人民政府2025年度政府拖欠企业账款项目支出绩效自评报告</w:t>
      </w:r>
    </w:p>
    <w:p w14:paraId="233D8EB5">
      <w:pPr>
        <w:rPr>
          <w:rFonts w:hint="eastAsia" w:ascii="仿宋_GB2312" w:hAnsi="仿宋_GB2312" w:eastAsia="仿宋_GB2312" w:cs="仿宋_GB2312"/>
        </w:rPr>
      </w:pPr>
    </w:p>
    <w:p w14:paraId="16D6D141">
      <w:pPr>
        <w:pStyle w:val="10"/>
        <w:bidi w:val="0"/>
        <w:rPr>
          <w:rFonts w:hint="eastAsia"/>
        </w:rPr>
      </w:pPr>
      <w:r>
        <w:rPr>
          <w:rFonts w:hint="eastAsia"/>
        </w:rPr>
        <w:t>一、项目基本情况</w:t>
      </w:r>
    </w:p>
    <w:p w14:paraId="48C48DD2">
      <w:pPr>
        <w:pStyle w:val="11"/>
        <w:bidi w:val="0"/>
        <w:rPr>
          <w:rFonts w:hint="eastAsia"/>
        </w:rPr>
      </w:pPr>
      <w:r>
        <w:rPr>
          <w:rFonts w:hint="eastAsia"/>
        </w:rPr>
        <w:t>（一）项目概况</w:t>
      </w:r>
    </w:p>
    <w:p w14:paraId="0DB3578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项目决策背景</w:t>
      </w:r>
    </w:p>
    <w:p w14:paraId="6017919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为贯彻落实党中央、国务院关于清理拖欠企业账款、优化营商环境的决策部署，切实减轻企业负担，增强市场主体活力，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乡人民政府依据上级有关清欠工作文件精神，结合本乡实际，设立“政府拖欠企业账款”项目，对历年拖欠的企业账款进行全面清理化解。</w:t>
      </w:r>
    </w:p>
    <w:p w14:paraId="3B1EAF3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项目主要内容</w:t>
      </w:r>
    </w:p>
    <w:p w14:paraId="4751092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本项目主要内容为对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乡人民政府历年拖欠的企业账款进行清偿，2025年度计划清理欠款不少于3笔，清债总额控制在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万元以内，确保无新增拖欠债务，并同步建立防范拖欠长效机制。</w:t>
      </w:r>
    </w:p>
    <w:p w14:paraId="6AD1B7A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项目组织管理机构</w:t>
      </w:r>
    </w:p>
    <w:p w14:paraId="1591563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主管部门、实施单位均为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。乡财政所牵头统筹资金筹措、账款核算、资金拨付工作；乡经济发展办负责梳理存量欠款、对接企业、签订清偿协议；各业务办所配合核对项目合同、完工结算资料；乡纪委全程监督资金拨付、账款清偿全流程，杜绝新增拖欠行为。</w:t>
      </w:r>
    </w:p>
    <w:p w14:paraId="77907A8C">
      <w:pPr>
        <w:pStyle w:val="11"/>
        <w:bidi w:val="0"/>
        <w:rPr>
          <w:rFonts w:hint="eastAsia" w:ascii="仿宋_GB2312" w:hAnsi="仿宋_GB2312" w:eastAsia="仿宋_GB2312" w:cs="仿宋_GB2312"/>
        </w:rPr>
      </w:pPr>
      <w:r>
        <w:rPr>
          <w:rFonts w:hint="eastAsia"/>
        </w:rPr>
        <w:t>（二）预算资金使用管理情况</w:t>
      </w:r>
    </w:p>
    <w:p w14:paraId="77136CA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预算资金安排及管理情况</w:t>
      </w:r>
    </w:p>
    <w:p w14:paraId="1B793A5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（1）资金来源及拨付流程</w:t>
      </w:r>
    </w:p>
    <w:p w14:paraId="598B8AF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本项目资金全部为当年财政拨款，年初预算数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万元，全年预算数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万元，无上年结转资金及其他资金来源。资金拨付流程为：欠款企业提交付款申请及证明材料→乡党政办核实欠款真实性及金额→乡财政所审核拨付→乡领导审批→支付至企业对公账户。</w:t>
      </w:r>
    </w:p>
    <w:p w14:paraId="002168B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（2）资金到位情况</w:t>
      </w:r>
    </w:p>
    <w:p w14:paraId="726E645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全年预算资金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万元已全部足额到位，资金到位率100%。</w:t>
      </w:r>
    </w:p>
    <w:p w14:paraId="3C7A38E9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（3）资金使用情况</w:t>
      </w:r>
    </w:p>
    <w:p w14:paraId="1651569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全年执行数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万元，执行率100%，与预算完全一致，无偏差。</w:t>
      </w:r>
    </w:p>
    <w:p w14:paraId="0F4C6AD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（4）资金管理制度及执行情况</w:t>
      </w:r>
    </w:p>
    <w:p w14:paraId="0597AE1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项目严格执行《财政专项资金管理办法》及本单位财务管理制度，实行专款专用、专账核算，每笔支出均附有欠款证明材料、审批单及支付凭证，确保资金流向清晰、可追溯。</w:t>
      </w:r>
    </w:p>
    <w:p w14:paraId="5A4C7C5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项目组织实施管理情况</w:t>
      </w:r>
    </w:p>
    <w:p w14:paraId="3AC12A0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建立“台账梳理、协议签订、资金清偿、长效管控”闭环工作机制：年初全面摸排全乡存量拖欠企业账款，建立清欠工作台账；逐户对接企业协商制定清偿方案并签订正式清偿协议；年内分批次完成全部款项拨付；同步完善项目经费支付审核流程，从源头遏制新增拖欠，全年所有清欠工作于2025年12月31日前全部办结归档。</w:t>
      </w:r>
    </w:p>
    <w:p w14:paraId="126371AA">
      <w:pPr>
        <w:pStyle w:val="11"/>
        <w:bidi w:val="0"/>
        <w:rPr>
          <w:rFonts w:hint="eastAsia"/>
        </w:rPr>
      </w:pPr>
      <w:r>
        <w:rPr>
          <w:rFonts w:hint="eastAsia"/>
        </w:rPr>
        <w:t>（三）预算绩效目标情况</w:t>
      </w:r>
    </w:p>
    <w:p w14:paraId="6AE8B31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绩效目标</w:t>
      </w:r>
    </w:p>
    <w:p w14:paraId="3BCD21E9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遏制新增拖欠企业账款，全面清偿存量债务，构建防范拖欠长效机制，切实缓解企业资金周转压力，改善辖区营商环境。</w:t>
      </w:r>
    </w:p>
    <w:p w14:paraId="4B603B4A">
      <w:pPr>
        <w:rPr>
          <w:rFonts w:hint="eastAsia" w:ascii="仿宋_GB2312" w:hAnsi="仿宋_GB2312" w:eastAsia="仿宋_GB2312" w:cs="仿宋_GB2312"/>
        </w:rPr>
      </w:pPr>
    </w:p>
    <w:p w14:paraId="031E25C8">
      <w:pPr>
        <w:numPr>
          <w:ilvl w:val="0"/>
          <w:numId w:val="1"/>
        </w:num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绩效指标</w:t>
      </w:r>
    </w:p>
    <w:p w14:paraId="76684B1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项目绩效总分100分，设置四大一级指标，配套二级、三级量化考核指标：</w:t>
      </w:r>
    </w:p>
    <w:p w14:paraId="57463D6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①成本指标（20分）：二级指标分为经济成本指标、社会成本指标、生态环境成本指标；三级指标为清偿成本控制数、社会成本节约率、生态环境成本节约率。</w:t>
      </w:r>
    </w:p>
    <w:p w14:paraId="076FC5F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②产出指标（30分）：二级指标包含数量指标、质量指标、时效指标；数量三级指标为清理欠款数量、清偿覆盖率；质量三级指标为资金使用合规率、清偿协议履约率；时效指标为清偿完成时限。</w:t>
      </w:r>
    </w:p>
    <w:p w14:paraId="3228593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③效益指标（30分）：二级指标包含经济效益指标、社会效益指标、生态效益指标、可持续影响指标。</w:t>
      </w:r>
    </w:p>
    <w:p w14:paraId="768B584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④满意度指标（10分）：二级指标为服务对象满意度指标，三级指标为受益企业满意度。</w:t>
      </w:r>
    </w:p>
    <w:p w14:paraId="108470ED">
      <w:pPr>
        <w:ind w:left="0" w:leftChars="0" w:firstLine="0" w:firstLineChars="0"/>
        <w:rPr>
          <w:rFonts w:hint="eastAsia" w:ascii="仿宋_GB2312" w:hAnsi="仿宋_GB2312" w:eastAsia="仿宋_GB2312" w:cs="仿宋_GB2312"/>
        </w:rPr>
      </w:pPr>
    </w:p>
    <w:p w14:paraId="479966E2">
      <w:pPr>
        <w:pStyle w:val="10"/>
        <w:bidi w:val="0"/>
        <w:rPr>
          <w:rFonts w:hint="eastAsia"/>
        </w:rPr>
      </w:pPr>
      <w:r>
        <w:rPr>
          <w:rFonts w:hint="eastAsia"/>
        </w:rPr>
        <w:t>二、绩效评价工作情况</w:t>
      </w:r>
    </w:p>
    <w:p w14:paraId="63800407">
      <w:pPr>
        <w:pStyle w:val="10"/>
        <w:bidi w:val="0"/>
        <w:rPr>
          <w:rFonts w:hint="eastAsia"/>
        </w:rPr>
      </w:pPr>
      <w:r>
        <w:rPr>
          <w:rFonts w:hint="eastAsia"/>
        </w:rPr>
        <w:t>（一）绩效评价目的</w:t>
      </w:r>
    </w:p>
    <w:p w14:paraId="51EEFA2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面核查2025年度政府拖欠企业账款清欠专项资金使用合规性、存量账款清偿完成情况，客观评价项目成本管控、实物产出、综合实施效益；总结清欠工作经验，健全拖欠账款长效防控机制，优化项目资金统筹管理，持续改善辖区营商环境。</w:t>
      </w:r>
    </w:p>
    <w:p w14:paraId="2455000A">
      <w:pPr>
        <w:pStyle w:val="10"/>
        <w:bidi w:val="0"/>
        <w:rPr>
          <w:rFonts w:hint="eastAsia"/>
        </w:rPr>
      </w:pPr>
      <w:r>
        <w:rPr>
          <w:rFonts w:hint="eastAsia"/>
        </w:rPr>
        <w:t>（二）被评价单位、绩效评价范围与时段</w:t>
      </w:r>
    </w:p>
    <w:p w14:paraId="24DB572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被评价单位为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乡人民政府。评价范围涵盖项目决策、资金管理、组织实施、产出成果及效益发挥全过程。评价时段为2025年1月1日至2025年12月31日。</w:t>
      </w:r>
    </w:p>
    <w:p w14:paraId="118263BD">
      <w:pPr>
        <w:pStyle w:val="10"/>
        <w:bidi w:val="0"/>
        <w:rPr>
          <w:rFonts w:hint="eastAsia"/>
        </w:rPr>
      </w:pPr>
      <w:r>
        <w:rPr>
          <w:rFonts w:hint="eastAsia"/>
        </w:rPr>
        <w:t>（三）绩效评价原则、评价指标体系、评价方法</w:t>
      </w:r>
    </w:p>
    <w:p w14:paraId="16C2634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1.被评价单位：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</w:t>
      </w:r>
    </w:p>
    <w:p w14:paraId="7682DF2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2.评价范围：2025年度政府拖欠企业账款专项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万元财政资金；全乡3笔存量政府拖欠企业账款清偿全流程工作；覆盖全部受益合作企业，包含台账梳理、协议签订、资金拨付、长效管控各项工作。</w:t>
      </w:r>
    </w:p>
    <w:p w14:paraId="44F31D8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3.评价时段：2025年1月1日—2025年12月31日。</w:t>
      </w:r>
    </w:p>
    <w:p w14:paraId="4ABDB206">
      <w:pPr>
        <w:rPr>
          <w:rFonts w:hint="eastAsia" w:ascii="仿宋_GB2312" w:hAnsi="仿宋_GB2312" w:eastAsia="仿宋_GB2312" w:cs="仿宋_GB2312"/>
        </w:rPr>
      </w:pPr>
    </w:p>
    <w:p w14:paraId="70CA12A2">
      <w:pPr>
        <w:pStyle w:val="10"/>
        <w:bidi w:val="0"/>
        <w:rPr>
          <w:rFonts w:hint="eastAsia"/>
        </w:rPr>
      </w:pPr>
      <w:r>
        <w:rPr>
          <w:rFonts w:hint="eastAsia"/>
        </w:rPr>
        <w:t>三、主要绩效及评价结论</w:t>
      </w:r>
    </w:p>
    <w:p w14:paraId="2C66261E">
      <w:pPr>
        <w:pStyle w:val="11"/>
        <w:bidi w:val="0"/>
        <w:rPr>
          <w:rFonts w:hint="eastAsia"/>
        </w:rPr>
      </w:pPr>
      <w:r>
        <w:rPr>
          <w:rFonts w:hint="eastAsia"/>
        </w:rPr>
        <w:t>（一）社会效益</w:t>
      </w:r>
    </w:p>
    <w:p w14:paraId="5FC5BF2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营商环境显著改善。 通过清偿3笔历史欠款共50.51万元，有效化解了政企间历史遗留债务矛盾，增强了企业对本级政府诚信履约的信心，为辖区市场主体营造了公平、透明、可预期的发展环境。项目实施过程中，未产生任何涉企纠纷或上访事件。</w:t>
      </w:r>
    </w:p>
    <w:p w14:paraId="66262241">
      <w:pPr>
        <w:pStyle w:val="11"/>
        <w:bidi w:val="0"/>
        <w:rPr>
          <w:rFonts w:hint="eastAsia"/>
        </w:rPr>
      </w:pPr>
      <w:r>
        <w:rPr>
          <w:rFonts w:hint="eastAsia"/>
        </w:rPr>
        <w:t>（二）生态效益</w:t>
      </w:r>
    </w:p>
    <w:p w14:paraId="43BED96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政务诚信生态持续优化。 本次清欠工作严格按协议约定履行付款义务，清债协议履约率达100%，以政府诚信带动社会诚信，净化了辖区信用环境，构建了良性的政务诚信生态。</w:t>
      </w:r>
    </w:p>
    <w:p w14:paraId="09D4C4A3">
      <w:pPr>
        <w:pStyle w:val="11"/>
        <w:bidi w:val="0"/>
        <w:rPr>
          <w:rFonts w:hint="eastAsia"/>
        </w:rPr>
      </w:pPr>
      <w:r>
        <w:rPr>
          <w:rFonts w:hint="eastAsia"/>
        </w:rPr>
        <w:t>（三）可持续影响</w:t>
      </w:r>
    </w:p>
    <w:p w14:paraId="27BBEE3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拖欠风险防控机制初步建立。 在清偿存量债务的同时，肖家桥乡建立健全了防范拖欠长效机制，从项目审批、合同管理、资金保障等方面加强源头管控，确保“无新增拖欠”目标可长期延续。</w:t>
      </w:r>
    </w:p>
    <w:p w14:paraId="79F5AE84">
      <w:pPr>
        <w:rPr>
          <w:rFonts w:hint="eastAsia" w:ascii="仿宋_GB2312" w:hAnsi="仿宋_GB2312" w:eastAsia="仿宋_GB2312" w:cs="仿宋_GB2312"/>
        </w:rPr>
      </w:pPr>
    </w:p>
    <w:p w14:paraId="648FB809">
      <w:pPr>
        <w:pStyle w:val="11"/>
        <w:bidi w:val="0"/>
        <w:rPr>
          <w:rFonts w:hint="eastAsia"/>
        </w:rPr>
      </w:pPr>
      <w:r>
        <w:rPr>
          <w:rFonts w:hint="eastAsia"/>
        </w:rPr>
        <w:t>（四）满意度情况</w:t>
      </w:r>
    </w:p>
    <w:p w14:paraId="017D6EF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经对受益企业进行回访调查，满意度达90%，达到年度指标值。企业普遍反映清欠流程透明、拨付及时，有效缓解了资金周转压力。</w:t>
      </w:r>
    </w:p>
    <w:p w14:paraId="6DF5E14B">
      <w:pPr>
        <w:pStyle w:val="11"/>
        <w:bidi w:val="0"/>
        <w:rPr>
          <w:rFonts w:hint="eastAsia"/>
        </w:rPr>
      </w:pPr>
      <w:r>
        <w:rPr>
          <w:rFonts w:hint="eastAsia"/>
        </w:rPr>
        <w:t>（五）评价结论</w:t>
      </w:r>
    </w:p>
    <w:p w14:paraId="242DE6A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项目绩效自评得分</w:t>
      </w:r>
      <w:r>
        <w:rPr>
          <w:rFonts w:hint="eastAsia" w:ascii="仿宋_GB2312" w:hAnsi="仿宋_GB2312" w:cs="仿宋_GB2312"/>
          <w:lang w:val="en-US" w:eastAsia="zh-CN"/>
        </w:rPr>
        <w:t>98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分，评定等级为“优”。项目全面完成了2025年度清欠目标，资金使用合规、产出达标、效益显著。</w:t>
      </w:r>
    </w:p>
    <w:p w14:paraId="140AA155">
      <w:pPr>
        <w:rPr>
          <w:rFonts w:hint="eastAsia" w:ascii="仿宋_GB2312" w:hAnsi="仿宋_GB2312" w:eastAsia="仿宋_GB2312" w:cs="仿宋_GB2312"/>
        </w:rPr>
      </w:pPr>
    </w:p>
    <w:p w14:paraId="3EFEDEDE">
      <w:pPr>
        <w:pStyle w:val="10"/>
        <w:bidi w:val="0"/>
        <w:rPr>
          <w:rFonts w:hint="eastAsia"/>
        </w:rPr>
      </w:pPr>
      <w:r>
        <w:rPr>
          <w:rFonts w:hint="eastAsia"/>
        </w:rPr>
        <w:t>四、绩效评价指标分析</w:t>
      </w:r>
    </w:p>
    <w:p w14:paraId="4FD95E6D">
      <w:pPr>
        <w:pStyle w:val="11"/>
        <w:bidi w:val="0"/>
        <w:rPr>
          <w:rFonts w:hint="eastAsia"/>
        </w:rPr>
      </w:pPr>
      <w:r>
        <w:rPr>
          <w:rFonts w:hint="eastAsia"/>
        </w:rPr>
        <w:t>（一）项目决策情况</w:t>
      </w:r>
    </w:p>
    <w:p w14:paraId="7DB0E4E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项目立项依据充分，符合上级清欠工作文件精神及本单位职责范围；绩效目标设置清晰明确，成本指标、产出指标、效益指标及满意度指标均量化可考核；预算编制科学合理，资金额度与年度清欠任务相匹配。</w:t>
      </w:r>
    </w:p>
    <w:p w14:paraId="45884F3E">
      <w:pPr>
        <w:pStyle w:val="11"/>
        <w:bidi w:val="0"/>
        <w:rPr>
          <w:rFonts w:hint="eastAsia"/>
        </w:rPr>
      </w:pPr>
      <w:r>
        <w:rPr>
          <w:rFonts w:hint="eastAsia"/>
        </w:rPr>
        <w:t>（二）项目过程情况</w:t>
      </w:r>
    </w:p>
    <w:p w14:paraId="78577B2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资金管理</w:t>
      </w:r>
    </w:p>
    <w:p w14:paraId="024F39F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全年预算资金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万元全额到位，执行数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万元，执行率100%。资金使用合规率100%，拨付有审批、支付有凭证，未发生截留、挪用、虚列支出等违规行为。</w:t>
      </w:r>
    </w:p>
    <w:p w14:paraId="7D3A8A7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项目实施</w:t>
      </w:r>
    </w:p>
    <w:p w14:paraId="35E32E6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全面梳理全乡存量欠款台账，逐笔对接企业签订清偿协议，按计划足额拨付清偿资金；同步完善项目经费支付审核制度，全年未产生任何新增拖欠账款；全部清欠工作均在2025年12月31日前按期办结，实施流程闭环规范。</w:t>
      </w:r>
    </w:p>
    <w:p w14:paraId="5F3E4141">
      <w:pPr>
        <w:rPr>
          <w:rFonts w:hint="eastAsia" w:ascii="仿宋_GB2312" w:hAnsi="仿宋_GB2312" w:eastAsia="仿宋_GB2312" w:cs="仿宋_GB2312"/>
        </w:rPr>
      </w:pPr>
    </w:p>
    <w:p w14:paraId="12B20DAC">
      <w:pPr>
        <w:pStyle w:val="11"/>
        <w:bidi w:val="0"/>
        <w:rPr>
          <w:rFonts w:hint="eastAsia"/>
        </w:rPr>
      </w:pPr>
      <w:r>
        <w:rPr>
          <w:rFonts w:hint="eastAsia"/>
        </w:rPr>
        <w:t>（三）项目产出情况</w:t>
      </w:r>
    </w:p>
    <w:p w14:paraId="78E6680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产出数量</w:t>
      </w:r>
    </w:p>
    <w:p w14:paraId="58E04E6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清理欠款3笔，清债覆盖率100%，覆盖全部存量欠款企业，足额完成年度目标。</w:t>
      </w:r>
    </w:p>
    <w:p w14:paraId="67E4330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产出质量</w:t>
      </w:r>
    </w:p>
    <w:p w14:paraId="1ECD2C2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资金使用合规率100%，清债协议履约率100%。每笔支付均严格审核欠款证明材料、审批手续及支付对象，确保程序规范、对象精准。</w:t>
      </w:r>
    </w:p>
    <w:p w14:paraId="30DC75E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产出成本</w:t>
      </w:r>
    </w:p>
    <w:p w14:paraId="16CD7D6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清债成本控制数为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万元，实际执行</w:t>
      </w:r>
      <w:r>
        <w:rPr>
          <w:rFonts w:hint="eastAsia" w:ascii="仿宋_GB2312" w:hAnsi="仿宋_GB2312" w:cs="仿宋_GB2312"/>
          <w:lang w:val="en-US" w:eastAsia="zh-CN"/>
        </w:rPr>
        <w:t>375.53</w:t>
      </w:r>
      <w:r>
        <w:rPr>
          <w:rFonts w:hint="eastAsia" w:ascii="仿宋_GB2312" w:hAnsi="仿宋_GB2312" w:eastAsia="仿宋_GB2312" w:cs="仿宋_GB2312"/>
        </w:rPr>
        <w:t>万元，与预算完全一致，无超支。社会成本节约率0%、生态环境成本节约率0%，项目未对社会及生态环境造成任何额外负担。</w:t>
      </w:r>
    </w:p>
    <w:p w14:paraId="0F35A2D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产出时效</w:t>
      </w:r>
    </w:p>
    <w:p w14:paraId="3674A11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存量欠款台账梳理、协议签订、资金拨付等全部清欠工作，均在2025年12月31日前完成，时效指标满分达标。</w:t>
      </w:r>
    </w:p>
    <w:p w14:paraId="6257DB4A">
      <w:pPr>
        <w:pStyle w:val="11"/>
        <w:bidi w:val="0"/>
        <w:rPr>
          <w:rFonts w:hint="eastAsia"/>
        </w:rPr>
      </w:pPr>
      <w:r>
        <w:rPr>
          <w:rFonts w:hint="eastAsia"/>
        </w:rPr>
        <w:t>（四）项目效益情况</w:t>
      </w:r>
    </w:p>
    <w:p w14:paraId="5B0716C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经济效益方面，3家受益企业资金周转压力得到有效缓解，增强了持续经营能力；社会效益方面，营商环境明显优化，政企关系更加和谐；可持续影响方面，拖欠风险防控长效机制初步建立，实现了“遏制增量、偿还存量”的良性循环。</w:t>
      </w:r>
    </w:p>
    <w:p w14:paraId="31F865D4">
      <w:pPr>
        <w:rPr>
          <w:rFonts w:hint="eastAsia" w:ascii="仿宋_GB2312" w:hAnsi="仿宋_GB2312" w:eastAsia="仿宋_GB2312" w:cs="仿宋_GB2312"/>
        </w:rPr>
      </w:pPr>
    </w:p>
    <w:p w14:paraId="10279AC6">
      <w:pPr>
        <w:pStyle w:val="10"/>
        <w:bidi w:val="0"/>
        <w:rPr>
          <w:rFonts w:hint="eastAsia"/>
        </w:rPr>
      </w:pPr>
      <w:r>
        <w:rPr>
          <w:rFonts w:hint="eastAsia"/>
        </w:rPr>
        <w:t>五、项目主要经验、存在的问题及建议</w:t>
      </w:r>
    </w:p>
    <w:p w14:paraId="7C13A075">
      <w:pPr>
        <w:pStyle w:val="11"/>
        <w:bidi w:val="0"/>
        <w:rPr>
          <w:rFonts w:hint="eastAsia"/>
        </w:rPr>
      </w:pPr>
      <w:r>
        <w:rPr>
          <w:rFonts w:hint="eastAsia"/>
        </w:rPr>
        <w:t>（一）项目主要经验及做法</w:t>
      </w:r>
    </w:p>
    <w:p w14:paraId="5B5FBE6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一是领导重视，高位推动。 乡政府将清欠工作纳入年度重点任务，主要领导亲自督办，确保清欠工作有力有序推进。二是台账管理，精准施策。 逐一核实欠款底数，建立清欠台账，做到“笔笔有据、笔笔清”。三是闭环管理，防止新增。 在清偿存量的同时，严控项目审批和合同签订环节，从源头杜绝新增拖欠。</w:t>
      </w:r>
    </w:p>
    <w:p w14:paraId="1908A730">
      <w:pPr>
        <w:pStyle w:val="11"/>
        <w:bidi w:val="0"/>
        <w:rPr>
          <w:rFonts w:hint="eastAsia"/>
        </w:rPr>
      </w:pPr>
      <w:r>
        <w:rPr>
          <w:rFonts w:hint="eastAsia"/>
        </w:rPr>
        <w:t>（二）存在的问题</w:t>
      </w:r>
    </w:p>
    <w:p w14:paraId="420F590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长效机制仍待深化。 虽然已建立防范拖欠制度框架，但在合同履约监管、资金保障预警等方面的精细化程度还有提升空间。满意度仍有提升空间。 受益企业满意度为90%，已达到目标值，但仍有少数企业希望进一步简化拨付流程。</w:t>
      </w:r>
    </w:p>
    <w:p w14:paraId="1C73CCEF">
      <w:pPr>
        <w:pStyle w:val="11"/>
        <w:bidi w:val="0"/>
        <w:rPr>
          <w:rFonts w:hint="eastAsia"/>
        </w:rPr>
      </w:pPr>
      <w:r>
        <w:rPr>
          <w:rFonts w:hint="eastAsia"/>
        </w:rPr>
        <w:t>（三）有关建议</w:t>
      </w:r>
    </w:p>
    <w:p w14:paraId="79E0DA70">
      <w:pPr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</w:rPr>
        <w:t>一是加强合同履约全流程监管，对政府类投资项目实行合同备案和履约跟踪制度，确保按约付款。二是建立清欠资金保障预警机制，将清欠所需资金纳入年度预算优先保障，避免“边清边欠”。三是定期开展清欠“回头看” ，对已清偿企业进行跟踪回访，防止因政策变动或信息不对称产生新的争议。</w:t>
      </w:r>
    </w:p>
    <w:p w14:paraId="1AB45299">
      <w:pPr>
        <w:ind w:left="0" w:leftChars="0" w:firstLine="0" w:firstLineChars="0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附件</w:t>
      </w:r>
    </w:p>
    <w:p w14:paraId="44CA111D">
      <w:pPr>
        <w:jc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项目支出绩效自评表</w:t>
      </w:r>
    </w:p>
    <w:tbl>
      <w:tblPr>
        <w:tblStyle w:val="8"/>
        <w:tblW w:w="9875" w:type="dxa"/>
        <w:tblInd w:w="-4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088"/>
        <w:gridCol w:w="1012"/>
        <w:gridCol w:w="1371"/>
        <w:gridCol w:w="991"/>
        <w:gridCol w:w="991"/>
        <w:gridCol w:w="991"/>
        <w:gridCol w:w="991"/>
        <w:gridCol w:w="1453"/>
      </w:tblGrid>
      <w:tr w14:paraId="557FC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1F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项目支出名称</w:t>
            </w:r>
          </w:p>
        </w:tc>
        <w:tc>
          <w:tcPr>
            <w:tcW w:w="888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政府拖欠企业账款</w:t>
            </w:r>
          </w:p>
        </w:tc>
      </w:tr>
      <w:tr w14:paraId="60E0C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8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6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沅陵县借母溪乡人民政府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C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34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F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沅陵县借母溪乡人民政府</w:t>
            </w:r>
          </w:p>
        </w:tc>
      </w:tr>
      <w:tr w14:paraId="0CF9E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3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项目资金(万元)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资金来源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6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F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全年预算数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3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全年执行数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F9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4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执行率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A0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得分</w:t>
            </w:r>
          </w:p>
        </w:tc>
      </w:tr>
      <w:tr w14:paraId="56DA1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2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A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其中:当年财政拨款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1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2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375.53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7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375.53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1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45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E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5F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3F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68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上年结转金额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D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3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9F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1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6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2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EE9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A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B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其它资金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2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F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A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99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7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D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854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2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C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6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8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375.53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8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375.53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41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D3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100.00%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4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</w:tr>
      <w:tr w14:paraId="4FC2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9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9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44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A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　</w:t>
            </w:r>
          </w:p>
        </w:tc>
      </w:tr>
      <w:tr w14:paraId="0ADD7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0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C4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遏制增量、偿还存量、构建长效机制。</w:t>
            </w:r>
          </w:p>
        </w:tc>
        <w:tc>
          <w:tcPr>
            <w:tcW w:w="44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C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2025年偿还企业账款375.53万元，无新增债务。</w:t>
            </w:r>
          </w:p>
        </w:tc>
      </w:tr>
      <w:tr w14:paraId="0C6C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4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0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6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1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32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79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D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E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7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7CAD9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B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98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2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EC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清理欠款数量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7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≥3笔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C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3笔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C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0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6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6F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0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8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C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清偿覆盖率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9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1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7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E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B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1BE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5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4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B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资金使用合规率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8A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2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E5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DE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2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F7C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0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6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E1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A1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清偿协议履约率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E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2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7C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9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4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7EC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3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6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E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D0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清偿完成时限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2025年12月31日前完成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1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2025年12月31日前完成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B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5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5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161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50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2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1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缓解企业资金周转压力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D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9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78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92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9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BDC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78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A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3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营商环境改善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4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9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7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4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9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C6C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3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F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6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12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政务诚信生态改善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F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C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90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6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67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53B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0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3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0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1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拖欠风险防控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4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1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效果显著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1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6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5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28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F6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6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5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F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受益企业满意度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3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D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F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E7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待提升</w:t>
            </w:r>
          </w:p>
        </w:tc>
      </w:tr>
      <w:tr w14:paraId="62CC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7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4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5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8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清偿成本控制数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E4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≤375.53万元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8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375.53万元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A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6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2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811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5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6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9C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1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社会成本节约率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F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A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3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7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E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3B6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7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D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1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生态环境成本节约率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5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0D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0%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B1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981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5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0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A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98.00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D9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4363800">
      <w:pPr>
        <w:jc w:val="center"/>
        <w:rPr>
          <w:rFonts w:hint="default" w:ascii="仿宋_GB2312" w:hAnsi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6C6A619-29DD-4DB6-9C1C-A36E3677740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1F35035-E4CB-491C-B207-CD8EFE4406C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5C6DCB"/>
    <w:multiLevelType w:val="singleLevel"/>
    <w:tmpl w:val="9F5C6DCB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C766C0"/>
    <w:rsid w:val="0BF4422B"/>
    <w:rsid w:val="1D3B5DC7"/>
    <w:rsid w:val="3B247438"/>
    <w:rsid w:val="43362FE1"/>
    <w:rsid w:val="46C766C0"/>
    <w:rsid w:val="4E511EA1"/>
    <w:rsid w:val="563C6139"/>
    <w:rsid w:val="5A290952"/>
    <w:rsid w:val="77735805"/>
    <w:rsid w:val="7F60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880" w:firstLineChars="200"/>
      <w:jc w:val="left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一级标题"/>
    <w:basedOn w:val="1"/>
    <w:qFormat/>
    <w:uiPriority w:val="0"/>
    <w:pPr>
      <w:spacing w:line="520" w:lineRule="exact"/>
      <w:ind w:firstLine="880" w:firstLineChars="200"/>
    </w:pPr>
    <w:rPr>
      <w:rFonts w:hint="default" w:eastAsia="黑体" w:asciiTheme="minorAscii" w:hAnsiTheme="minorAscii"/>
      <w:sz w:val="32"/>
    </w:rPr>
  </w:style>
  <w:style w:type="paragraph" w:customStyle="1" w:styleId="11">
    <w:name w:val="二级标题"/>
    <w:basedOn w:val="1"/>
    <w:next w:val="1"/>
    <w:qFormat/>
    <w:uiPriority w:val="0"/>
    <w:pPr>
      <w:keepNext/>
      <w:keepLines/>
      <w:spacing w:beforeLines="0" w:afterLines="0" w:line="520" w:lineRule="exact"/>
      <w:ind w:firstLine="880" w:firstLineChars="200"/>
      <w:jc w:val="left"/>
      <w:outlineLvl w:val="2"/>
    </w:pPr>
    <w:rPr>
      <w:rFonts w:eastAsia="楷体"/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3535</Words>
  <Characters>3821</Characters>
  <Lines>0</Lines>
  <Paragraphs>0</Paragraphs>
  <TotalTime>13</TotalTime>
  <ScaleCrop>false</ScaleCrop>
  <LinksUpToDate>false</LinksUpToDate>
  <CharactersWithSpaces>3849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2026-06-22T07:24:00Z</dcterms:created>
  <dc:creator>乌托邦</dc:creator>
  <cp:lastModifiedBy>浅水浮香</cp:lastModifiedBy>
  <dcterms:modified xsi:type="dcterms:W3CDTF">2026-09-18T09:15:28Z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03B871EFDC08486A9FE1795C750865E8_13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