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体彩公益金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3ADFD5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市县体彩公益金分成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，用于实施群众体育工作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 w14:paraId="2FA455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进一步完善自然村体育设施建设，扩大全民健身设施自然村覆盖率，开展全民健身活动和健身比赛。</w:t>
      </w:r>
    </w:p>
    <w:p w14:paraId="77D84AE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3A5D55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2025年财政下达我局体彩公益资金139.88万元，资金来源为财政资金，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1D5D87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Chars="200" w:right="0" w:rightChars="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体彩公益金活动项目经费139.88万元，全部为财政资金，资金到位率100%。</w:t>
      </w:r>
    </w:p>
    <w:p w14:paraId="2166D5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02D0A1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体彩公益项目经费139.88万元，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139.88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主要用于乡镇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文体器材购置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、参加省市级全民健身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包括怀化市第七届市运会、怀BA篮球联赛、卢溪“村舟”赛等赛事）活动。</w:t>
      </w: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330B486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960" w:firstLineChars="3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体彩公益活动</w:t>
      </w:r>
      <w:r>
        <w:rPr>
          <w:rFonts w:hint="eastAsia" w:ascii="仿宋" w:hAnsi="仿宋" w:eastAsia="仿宋" w:cs="仿宋"/>
          <w:kern w:val="0"/>
          <w:sz w:val="32"/>
          <w:szCs w:val="32"/>
        </w:rPr>
        <w:t>专项资金，全部保障到位，高效运行,发挥资金使用效益，无截留、挪用项目资金行为。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体彩公益项目经费139.88万元，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139.88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3F2AD688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038CC2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群众体育活动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项目中需要进行采购的项目进行采购。</w:t>
      </w:r>
    </w:p>
    <w:p w14:paraId="7A43FF74"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02681F80">
      <w:pPr>
        <w:ind w:firstLine="627" w:firstLineChars="196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3A286AC4">
      <w:pPr>
        <w:pStyle w:val="8"/>
        <w:spacing w:line="360" w:lineRule="auto"/>
        <w:ind w:firstLine="640" w:firstLineChars="200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公共体育基础设施建设，开展全民健身运动和比赛活动，提高广大群众身体素质。</w:t>
      </w:r>
    </w:p>
    <w:p w14:paraId="2A9EFE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体彩公益金项目经费139.88万元，②社会成本指标：社会成本节约率0，③生态环境成本指标：生态环境成本节约率0。（二）产出指标：①数量指标：怀化市七届运动会、怀BA蓝球联赛、卢溪“村舟”赛等活动。②质量指标 赛事活动安全0事故，活动完成100%，③时效指标：完成及时性，2025年12月31日之前完成。（三）效益指标：①经济效益指标 提高专项资金使用效益。②社会效益指标： 有力地提升了群众体育和竞技体育影响力。③生态效益指标：改善文化宣传环境。④可持续影响指标：推动了群众对全民健身活动需求的持续增长。（四）满意度指标：服务对象满意率90以上。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5C066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70D1A4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专项绩效评价单位是本单位，评价范围是对2025年体彩公益活动项目工作开展情况进行评价。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191870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368DC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通过开展各类丰富多彩、形式多样的群众性体育活动，丰富了群众精神文化生活，激发了群众参与体育健身的热情，增强了人民体质，促进了社会和谐，推动了全民健身发展。</w:t>
      </w:r>
    </w:p>
    <w:p w14:paraId="187D5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改善文化宣传环境</w:t>
      </w:r>
    </w:p>
    <w:p w14:paraId="7E8F0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增强全县的文化软实力和品牌影响力</w:t>
      </w:r>
    </w:p>
    <w:p w14:paraId="472DA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服务对象满意率90%</w:t>
      </w:r>
    </w:p>
    <w:p w14:paraId="257AF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2025年单位群众体育活动工作任务已完成，目标责任履职情况好,专项绩效自评综合得分为100分。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16332"/>
      <w:bookmarkStart w:id="6" w:name="_Toc275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65F03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2D2D8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</w:t>
      </w:r>
    </w:p>
    <w:p w14:paraId="24F4F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5F69A43C">
      <w:pPr>
        <w:widowControl/>
        <w:shd w:val="clear" w:color="auto" w:fill="FFFFFF"/>
        <w:spacing w:line="510" w:lineRule="atLeast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DC1AFE">
      <w:pPr>
        <w:widowControl/>
        <w:shd w:val="clear" w:color="auto" w:fill="FFFFFF"/>
        <w:spacing w:line="510" w:lineRule="atLeast"/>
        <w:ind w:firstLine="707" w:firstLineChars="221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项目招投标方面，凡是单个项目采购金额达到采购标准的，均依法采用公开招投标方式组织项目实施；一般情况下，不进行项目调整，确需要调整的，均依照财政部门规定，按照程序报批后方予以调整；所有项目竣工验收等工作，均由业务股室按照规定程序进行，验收完成后财务方开展报账和支付工作。</w:t>
      </w:r>
    </w:p>
    <w:p w14:paraId="4AD160B9">
      <w:pPr>
        <w:pStyle w:val="8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6AAC6A2B">
      <w:pPr>
        <w:ind w:firstLine="627" w:firstLineChars="196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:赛事活动6次</w:t>
      </w:r>
    </w:p>
    <w:p w14:paraId="5B41C72C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15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;成功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举办了“卡倍多杯”门球赛、“健康中国· 母亲行动”沅陵县首届女子气排球赛、第二届沅陵县“中华书山”杯职工气排球赛、举办怀BA篮球联赛沅陵县主场赛、参加怀化市第七届运动会，卢溪“村舟”赛参赛活动，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赛事活动顺利开展安全0事故，市运会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比赛中获得金牌3枚、银牌2枚、铜牌2枚。</w:t>
      </w:r>
      <w:bookmarkStart w:id="14" w:name="_Toc25948"/>
    </w:p>
    <w:p w14:paraId="34F0A3AC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15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：项目活动成本控制在预算范围内</w:t>
      </w:r>
      <w:bookmarkStart w:id="15" w:name="_Toc21477"/>
    </w:p>
    <w:p w14:paraId="771A8BCA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150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：活动周期内完成，完成率100%</w:t>
      </w:r>
      <w:bookmarkStart w:id="16" w:name="_Toc3072"/>
      <w:bookmarkStart w:id="17" w:name="_Toc12690"/>
    </w:p>
    <w:p w14:paraId="73368390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2" w:firstLineChars="15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63B954C6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2" w:firstLineChars="1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按照合同金额支付项目款。</w:t>
      </w:r>
    </w:p>
    <w:p w14:paraId="32C75FFD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该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已经完工，已投入使用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该项目按质保量完成。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提高专项资金使用效益。（2）社会效益。不断丰富群众文化生活，提高群众幸福生活指数。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  <w:bookmarkStart w:id="18" w:name="_Toc390267055"/>
      <w:bookmarkStart w:id="19" w:name="_Toc390096931"/>
      <w:bookmarkStart w:id="20" w:name="_Toc12414"/>
      <w:bookmarkStart w:id="21" w:name="_Toc24241"/>
    </w:p>
    <w:p w14:paraId="4313831B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572AEDC1">
      <w:pPr>
        <w:keepNext w:val="0"/>
        <w:keepLines w:val="0"/>
        <w:pageBreakBefore w:val="0"/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6" w:name="_GoBack"/>
      <w:bookmarkEnd w:id="2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（一）项目主要经验及做法</w:t>
      </w:r>
    </w:p>
    <w:p w14:paraId="5A832F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  <w:bookmarkStart w:id="22" w:name="_Toc2597"/>
      <w:bookmarkStart w:id="23" w:name="_Toc6772"/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End w:id="22"/>
      <w:bookmarkEnd w:id="23"/>
      <w:bookmarkStart w:id="24" w:name="_Toc16271"/>
      <w:bookmarkStart w:id="25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329D5FC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4"/>
      <w:bookmarkEnd w:id="25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2A674F06"/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49F225-D2A3-4509-A81B-6345F80BE0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F80B0C7-1F51-4277-B826-504BA6CBD7D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179BE8B-5DC6-4F48-A547-59D55678D2E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7D16E30-9CF3-4E6C-A23A-AEC502F331D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07710E0-AFA9-4A92-8915-ED237CEE83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623D08F-FC62-4EA2-8224-753B3CD21A8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87E8385F-7875-4F2E-A48D-8E645A3A3F52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B32"/>
    <w:rsid w:val="06AE1485"/>
    <w:rsid w:val="07786950"/>
    <w:rsid w:val="0CB332F9"/>
    <w:rsid w:val="14FE5F5C"/>
    <w:rsid w:val="1793469E"/>
    <w:rsid w:val="1B8552FA"/>
    <w:rsid w:val="1D07422E"/>
    <w:rsid w:val="21F80FA3"/>
    <w:rsid w:val="25665261"/>
    <w:rsid w:val="267506A8"/>
    <w:rsid w:val="27590510"/>
    <w:rsid w:val="276F2F0F"/>
    <w:rsid w:val="2EF6291B"/>
    <w:rsid w:val="438236DF"/>
    <w:rsid w:val="542B5FE1"/>
    <w:rsid w:val="5AEF62CD"/>
    <w:rsid w:val="5CC93F5E"/>
    <w:rsid w:val="5E014DC8"/>
    <w:rsid w:val="62567831"/>
    <w:rsid w:val="62C943A6"/>
    <w:rsid w:val="6F2F24DC"/>
    <w:rsid w:val="7B0A1EFA"/>
    <w:rsid w:val="7CF92699"/>
    <w:rsid w:val="7D27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8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2382</Words>
  <Characters>2482</Characters>
  <Lines>0</Lines>
  <Paragraphs>0</Paragraphs>
  <TotalTime>0</TotalTime>
  <ScaleCrop>false</ScaleCrop>
  <LinksUpToDate>false</LinksUpToDate>
  <CharactersWithSpaces>2493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