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4B2EB8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0"/>
        <w:jc w:val="center"/>
        <w:rPr>
          <w:rFonts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44"/>
          <w:szCs w:val="44"/>
          <w:shd w:val="clear" w:fill="FFFFFF"/>
          <w:lang w:val="en-US" w:eastAsia="zh-CN"/>
        </w:rPr>
        <w:t>城北体育公园</w:t>
      </w: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44"/>
          <w:szCs w:val="44"/>
          <w:shd w:val="clear" w:fill="FFFFFF"/>
        </w:rPr>
        <w:t>项目支出绩效自评报告</w:t>
      </w:r>
    </w:p>
    <w:p w14:paraId="6AFF0676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left="0" w:right="0" w:firstLine="640" w:firstLineChars="200"/>
        <w:jc w:val="both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 </w:t>
      </w:r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一、项目基本情况</w:t>
      </w:r>
    </w:p>
    <w:p w14:paraId="479EC3AF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firstLine="643" w:firstLineChars="200"/>
        <w:jc w:val="both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（一）项目概况</w:t>
      </w:r>
    </w:p>
    <w:p w14:paraId="738F79E5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</w:pPr>
      <w:r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1.项目决策背景</w:t>
      </w:r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：</w:t>
      </w:r>
      <w:r>
        <w:rPr>
          <w:rFonts w:hint="eastAsia" w:ascii="仿宋" w:hAnsi="仿宋" w:eastAsia="仿宋" w:cs="仿宋"/>
          <w:sz w:val="32"/>
          <w:szCs w:val="32"/>
        </w:rPr>
        <w:t>为深入贯彻全民健身国家战略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，加快全民健身公共服务体系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，广泛开展体育赛事活动，不断满足人民群众健身需求，提高群众健康水平，使广大群众在参与中获得满足感和幸福感。</w:t>
      </w:r>
    </w:p>
    <w:p w14:paraId="2C8F5695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firstLine="640" w:firstLineChars="200"/>
        <w:jc w:val="both"/>
        <w:textAlignment w:val="auto"/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2.项目主要内容</w:t>
      </w:r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：新建城北体育公园</w:t>
      </w:r>
    </w:p>
    <w:p w14:paraId="2BA6065A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firstLine="640" w:firstLineChars="200"/>
        <w:jc w:val="both"/>
        <w:textAlignment w:val="auto"/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3.项目组织管理机构</w:t>
      </w:r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：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沅陵县文旅广体局</w:t>
      </w:r>
    </w:p>
    <w:p w14:paraId="7FD3FFF9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firstLine="643" w:firstLineChars="200"/>
        <w:jc w:val="both"/>
        <w:textAlignment w:val="auto"/>
        <w:rPr>
          <w:rFonts w:hint="default" w:ascii="楷体" w:hAnsi="楷体" w:eastAsia="楷体" w:cs="楷体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default" w:ascii="楷体" w:hAnsi="楷体" w:eastAsia="楷体" w:cs="楷体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（二）预算资金使用管理情况</w:t>
      </w:r>
    </w:p>
    <w:p w14:paraId="657DE2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outlineLvl w:val="1"/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bookmarkStart w:id="0" w:name="_Toc10810"/>
      <w:r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1.预算资金安排及管理情况</w:t>
      </w:r>
      <w:bookmarkEnd w:id="0"/>
    </w:p>
    <w:p w14:paraId="3E181D69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firstLine="640" w:firstLineChars="200"/>
        <w:jc w:val="both"/>
        <w:textAlignment w:val="auto"/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（1）资金来源及拨付流程</w:t>
      </w:r>
    </w:p>
    <w:p w14:paraId="722B978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firstLine="640" w:firstLineChars="200"/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2025年财政下达我局城北体育公园项目资金 198.6万元，资金来源为财政资金，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我局按照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相关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管理制度，严格执行规范项目的实施流程，保证项目实施的效率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，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从申请到实施严格按照财务制度要求办理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。</w:t>
      </w:r>
    </w:p>
    <w:p w14:paraId="5F16C1CE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left="0" w:leftChars="0" w:right="0" w:rightChars="0" w:firstLine="640" w:firstLineChars="200"/>
        <w:jc w:val="both"/>
        <w:textAlignment w:val="auto"/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（2）资金到位情况</w:t>
      </w:r>
    </w:p>
    <w:p w14:paraId="33DF5A56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leftChars="200" w:right="0" w:rightChars="0" w:firstLine="320" w:firstLineChars="100"/>
        <w:jc w:val="both"/>
        <w:textAlignment w:val="auto"/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城北体育公园建设专项资金198.6万元，全部为财政资金，资金到位率100%。</w:t>
      </w:r>
    </w:p>
    <w:p w14:paraId="2166D523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left="0" w:leftChars="0" w:right="0" w:rightChars="0" w:firstLine="640" w:firstLineChars="200"/>
        <w:jc w:val="both"/>
        <w:textAlignment w:val="auto"/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（2）资金使用情况</w:t>
      </w:r>
    </w:p>
    <w:p w14:paraId="225524DC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rightChars="0" w:firstLine="320" w:firstLineChars="100"/>
        <w:jc w:val="both"/>
        <w:textAlignment w:val="auto"/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城北体育公园建设项目专项资金198.6万元，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截止202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年12月底，项目资金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198.6万元全额拨付沅陵辰投资产管理有限公司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，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拨付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率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100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%。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用于城北体育公园建设，我局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严格按照下达预算的科目和项目执行，无截留、挤占、挪用或擅自调整等问题。</w:t>
      </w:r>
    </w:p>
    <w:p w14:paraId="2E0668C0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left="0" w:leftChars="0" w:right="0" w:rightChars="0" w:firstLine="640" w:firstLineChars="200"/>
        <w:jc w:val="both"/>
        <w:textAlignment w:val="auto"/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（3）资金管理制度及执行情况</w:t>
      </w:r>
    </w:p>
    <w:p w14:paraId="5FBC8FEE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rightChars="0" w:firstLine="640" w:firstLineChars="200"/>
        <w:jc w:val="both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202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kern w:val="0"/>
          <w:sz w:val="32"/>
          <w:szCs w:val="32"/>
        </w:rPr>
        <w:t>年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城北体育公园项目</w:t>
      </w:r>
      <w:r>
        <w:rPr>
          <w:rFonts w:hint="eastAsia" w:ascii="仿宋" w:hAnsi="仿宋" w:eastAsia="仿宋" w:cs="仿宋"/>
          <w:kern w:val="0"/>
          <w:sz w:val="32"/>
          <w:szCs w:val="32"/>
        </w:rPr>
        <w:t>专项资金，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财政拨付</w:t>
      </w:r>
      <w:r>
        <w:rPr>
          <w:rFonts w:hint="eastAsia" w:ascii="仿宋" w:hAnsi="仿宋" w:eastAsia="仿宋" w:cs="仿宋"/>
          <w:kern w:val="0"/>
          <w:sz w:val="32"/>
          <w:szCs w:val="32"/>
        </w:rPr>
        <w:t>到位，高效运行,发挥资金使用效益，无截留、挪用项目资金行为。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城北体育公园项目专项资金198.6万元，支付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使用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项目资金198.6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万元，执行率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100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%。</w:t>
      </w:r>
    </w:p>
    <w:p w14:paraId="56697544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left="0" w:leftChars="0" w:right="0" w:rightChars="0" w:firstLine="640" w:firstLineChars="200"/>
        <w:jc w:val="both"/>
        <w:textAlignment w:val="auto"/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2.项目组织实施管理情况</w:t>
      </w:r>
    </w:p>
    <w:p w14:paraId="3F2AD688">
      <w:pPr>
        <w:spacing w:line="520" w:lineRule="exact"/>
        <w:ind w:firstLine="594" w:firstLineChars="198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  <w:lang w:eastAsia="zh-CN"/>
        </w:rPr>
        <w:t>（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1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）</w:t>
      </w:r>
      <w:r>
        <w:rPr>
          <w:rFonts w:hint="eastAsia" w:ascii="仿宋" w:hAnsi="仿宋" w:eastAsia="仿宋" w:cs="仿宋"/>
          <w:sz w:val="30"/>
          <w:szCs w:val="30"/>
        </w:rPr>
        <w:t>、项目组织情况分析</w:t>
      </w:r>
    </w:p>
    <w:p w14:paraId="0A340F5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firstLine="640" w:firstLineChars="200"/>
        <w:rPr>
          <w:rFonts w:hint="default" w:ascii="仿宋" w:hAnsi="仿宋" w:eastAsia="仿宋" w:cs="仿宋"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我局为加强专项资金的管理和使用，根据业务需要和工作要求，采取机关各股室职责分工、合作的办法，对有关专项工作进行组织管理。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管理规范，组织实施良好，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组织制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度建设规范，真正做到把项目做实做细做好。</w:t>
      </w:r>
    </w:p>
    <w:p w14:paraId="7A43FF74">
      <w:pPr>
        <w:pStyle w:val="8"/>
        <w:numPr>
          <w:ilvl w:val="0"/>
          <w:numId w:val="0"/>
        </w:numPr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（2）</w:t>
      </w:r>
      <w:r>
        <w:rPr>
          <w:rFonts w:hint="eastAsia" w:ascii="仿宋" w:hAnsi="仿宋" w:eastAsia="仿宋" w:cs="仿宋"/>
          <w:sz w:val="32"/>
          <w:szCs w:val="32"/>
        </w:rPr>
        <w:t>、项目管理情况分析</w:t>
      </w:r>
    </w:p>
    <w:p w14:paraId="1202B564">
      <w:pPr>
        <w:pStyle w:val="8"/>
        <w:numPr>
          <w:ilvl w:val="0"/>
          <w:numId w:val="0"/>
        </w:numPr>
        <w:spacing w:line="360" w:lineRule="auto"/>
        <w:ind w:firstLine="320" w:firstLineChars="10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我局对专项资金使用目标明确，资金管理、会计核算、财务审批制度健全。拨款程序规范，符合国家有关财务管理制度，项目支出严格按照专项规定进行审核把关。</w:t>
      </w:r>
    </w:p>
    <w:p w14:paraId="5A9E8C32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firstLine="643" w:firstLineChars="200"/>
        <w:jc w:val="both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（三）预算绩效目标情况</w:t>
      </w:r>
    </w:p>
    <w:p w14:paraId="6A01C219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firstLine="640" w:firstLineChars="200"/>
        <w:jc w:val="both"/>
        <w:textAlignment w:val="auto"/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1.绩效目标</w:t>
      </w:r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：城北体育公园建设，不断丰富广大群众精神文化生活，增加群众满足感，支持群众身边的健身活动，增加群众的成就感。</w:t>
      </w:r>
    </w:p>
    <w:p w14:paraId="50E0B4E7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firstLine="640" w:firstLineChars="200"/>
        <w:jc w:val="both"/>
        <w:textAlignment w:val="auto"/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2.绩效指标</w:t>
      </w:r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：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（一）成本指标：①经济成本指标，城北体育公园项目成本198.6万元，②社会成本指标：社会成本节约率0，③生态环境成本指标：生态环境成本节约率0。（二）产出指标：①数量指标：城北体育公园建设，②质量指标：项目资金使用规范，③时效指标：完成及时性，2025年12月31日之前完成。（三）效益指标：①经济效益指标 提高专项资金使用效益。②社会效益指标： 项目的实施，增加群众满足感和成就感。③生态效益指标：改善文化宣传环境。④可持续影响指标：推动了群众对全民健身活动需求的持续增长。（四）满意度指标：服务对象满意率大于90%以上。</w:t>
      </w:r>
    </w:p>
    <w:p w14:paraId="3280C780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520" w:lineRule="exact"/>
        <w:ind w:left="0" w:leftChars="0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二、绩效评价工作情况</w:t>
      </w:r>
    </w:p>
    <w:p w14:paraId="2D671E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firstLine="643" w:firstLineChars="200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（一）绩效评价目的</w:t>
      </w:r>
    </w:p>
    <w:p w14:paraId="7CFFE35B">
      <w:pPr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bookmarkStart w:id="1" w:name="_Toc11844"/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在于强化绩效理念，提高部门履职能力。</w:t>
      </w:r>
    </w:p>
    <w:p w14:paraId="5FCE28E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firstLine="643" w:firstLineChars="200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（二）被评价单位、绩效评价范围与时段</w:t>
      </w:r>
      <w:bookmarkEnd w:id="1"/>
    </w:p>
    <w:p w14:paraId="485AA2C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Chars="200" w:firstLine="320" w:firstLineChars="100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专项绩效评价单位是本单位，评价范围是对2025年项目工作开展情况进行评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0"/>
          <w:szCs w:val="30"/>
          <w:shd w:val="clear" w:fill="FFFFFF"/>
          <w:lang w:val="en-US" w:eastAsia="zh-CN" w:bidi="ar"/>
        </w:rPr>
        <w:t>价。</w:t>
      </w:r>
    </w:p>
    <w:p w14:paraId="1556BC8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firstLine="643" w:firstLineChars="200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bookmarkStart w:id="2" w:name="_Toc31835"/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（三）绩效评价原则、评价指标体系、评价方法</w:t>
      </w:r>
      <w:bookmarkEnd w:id="2"/>
    </w:p>
    <w:p w14:paraId="32FF97B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Chars="200" w:firstLine="320" w:firstLineChars="100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按照专项绩效管理有关规定，遵循客观、实事求是、公正、公开的原则，对项目决策、准备、实施等进行自我评价。</w:t>
      </w:r>
    </w:p>
    <w:p w14:paraId="08DA59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outlineLvl w:val="0"/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bookmarkStart w:id="3" w:name="_Toc7615"/>
      <w:bookmarkStart w:id="4" w:name="_Toc32076"/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三、主要绩效及评价结论</w:t>
      </w:r>
      <w:bookmarkEnd w:id="3"/>
      <w:bookmarkEnd w:id="4"/>
    </w:p>
    <w:p w14:paraId="03E5DB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firstLine="643" w:firstLineChars="200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（一）社会效益：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提高全县群众的文化素质和审美水平</w:t>
      </w:r>
    </w:p>
    <w:p w14:paraId="1165D3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firstLine="643" w:firstLineChars="200"/>
        <w:textAlignment w:val="auto"/>
        <w:rPr>
          <w:rFonts w:hint="default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（二）生态效益：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0"/>
          <w:szCs w:val="30"/>
          <w:shd w:val="clear" w:fill="FFFFFF"/>
          <w:lang w:val="en-US" w:eastAsia="zh-CN" w:bidi="ar"/>
        </w:rPr>
        <w:t>改善文化宣传环境</w:t>
      </w:r>
    </w:p>
    <w:p w14:paraId="51CDD2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firstLine="643" w:firstLineChars="200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（三）可持续影响：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0"/>
          <w:szCs w:val="30"/>
          <w:shd w:val="clear" w:fill="FFFFFF"/>
          <w:lang w:val="en-US" w:eastAsia="zh-CN" w:bidi="ar"/>
        </w:rPr>
        <w:t>增强全县的文化软实力和品牌影响力</w:t>
      </w:r>
    </w:p>
    <w:p w14:paraId="472DAC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firstLine="643" w:firstLineChars="200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（四）满意度情况：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0"/>
          <w:szCs w:val="30"/>
          <w:shd w:val="clear" w:fill="FFFFFF"/>
          <w:lang w:val="en-US" w:eastAsia="zh-CN" w:bidi="ar"/>
        </w:rPr>
        <w:t>服务对象满意度大于90%以上。</w:t>
      </w:r>
    </w:p>
    <w:p w14:paraId="794747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firstLine="643" w:firstLineChars="200"/>
        <w:textAlignment w:val="auto"/>
        <w:rPr>
          <w:rFonts w:hint="default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（五）评价结论：</w:t>
      </w:r>
      <w:r>
        <w:rPr>
          <w:rFonts w:hint="eastAsia" w:ascii="仿宋" w:hAnsi="仿宋" w:eastAsia="仿宋" w:cs="仿宋"/>
          <w:color w:val="3D3D3D"/>
          <w:sz w:val="32"/>
          <w:szCs w:val="32"/>
          <w:lang w:val="en-US" w:eastAsia="zh-CN"/>
        </w:rPr>
        <w:t>结合2025年单位财政支出项目绩效评价情况，经评价财政支出项目绩效得分100分。</w:t>
      </w:r>
    </w:p>
    <w:p w14:paraId="08651B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outlineLvl w:val="0"/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bookmarkStart w:id="5" w:name="_Toc27541"/>
      <w:bookmarkStart w:id="6" w:name="_Toc16332"/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四、绩效评价指标分析</w:t>
      </w:r>
      <w:bookmarkEnd w:id="5"/>
      <w:bookmarkEnd w:id="6"/>
    </w:p>
    <w:p w14:paraId="3C5595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firstLine="643" w:firstLineChars="200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bookmarkStart w:id="7" w:name="_Toc17679"/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(一)项目决策情况</w:t>
      </w:r>
      <w:bookmarkEnd w:id="7"/>
    </w:p>
    <w:p w14:paraId="04E45B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firstLine="602" w:firstLineChars="200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0"/>
          <w:szCs w:val="30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kern w:val="0"/>
          <w:sz w:val="30"/>
          <w:szCs w:val="30"/>
          <w:shd w:val="clear" w:fill="FFFFFF"/>
          <w:lang w:val="en-US" w:eastAsia="zh-CN" w:bidi="ar"/>
        </w:rPr>
        <w:t xml:space="preserve">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0"/>
          <w:szCs w:val="30"/>
          <w:shd w:val="clear" w:fill="FFFFFF"/>
          <w:lang w:val="en-US" w:eastAsia="zh-CN" w:bidi="ar"/>
        </w:rPr>
        <w:t>1、前期准备：准备自评资料并保证完整性、及时性、真实性、佐证材料的准备、材料质量等要求。</w:t>
      </w:r>
    </w:p>
    <w:p w14:paraId="0525CD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firstLine="600" w:firstLineChars="200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0"/>
          <w:szCs w:val="30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0"/>
          <w:szCs w:val="30"/>
          <w:shd w:val="clear" w:fill="FFFFFF"/>
          <w:lang w:val="en-US" w:eastAsia="zh-CN" w:bidi="ar"/>
        </w:rPr>
        <w:t>2、组织实施：包括布置、审核、检查等情况存在的问题及有关意见及建议。</w:t>
      </w:r>
    </w:p>
    <w:p w14:paraId="51C512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firstLine="600" w:firstLineChars="200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0"/>
          <w:szCs w:val="30"/>
          <w:shd w:val="clear" w:fill="FFFFFF"/>
          <w:lang w:val="en-US" w:eastAsia="zh-CN" w:bidi="ar"/>
        </w:rPr>
        <w:t>3、分析评价：按照项目绩效管理有关规定，遵循客观、实事求是、公正、公开的原则，对项目决策、准备、实施等进行了自我评价。</w:t>
      </w:r>
    </w:p>
    <w:p w14:paraId="0878E7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firstLine="643" w:firstLineChars="200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bookmarkStart w:id="8" w:name="_Toc28411"/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(二)项目过程情况</w:t>
      </w:r>
      <w:bookmarkEnd w:id="8"/>
    </w:p>
    <w:p w14:paraId="2D2D8C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firstLine="640" w:firstLineChars="200"/>
        <w:textAlignment w:val="auto"/>
        <w:outlineLvl w:val="2"/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bookmarkStart w:id="9" w:name="_Toc10140"/>
      <w:r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1.资金管理</w:t>
      </w:r>
      <w:bookmarkEnd w:id="9"/>
    </w:p>
    <w:p w14:paraId="140CB982">
      <w:pPr>
        <w:ind w:firstLine="600" w:firstLineChars="200"/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Cs/>
          <w:sz w:val="30"/>
          <w:szCs w:val="30"/>
        </w:rPr>
        <w:t>凡拨付到我单位的专项资金，我们均做到专款专用，绝不挤占不挪用，专项资金由财政拨付到</w:t>
      </w:r>
      <w:r>
        <w:rPr>
          <w:rFonts w:hint="eastAsia" w:ascii="仿宋" w:hAnsi="仿宋" w:eastAsia="仿宋" w:cs="仿宋"/>
          <w:bCs/>
          <w:sz w:val="30"/>
          <w:szCs w:val="30"/>
          <w:lang w:eastAsia="zh-CN"/>
        </w:rPr>
        <w:t>我局</w:t>
      </w:r>
      <w:r>
        <w:rPr>
          <w:rFonts w:hint="eastAsia" w:ascii="仿宋" w:hAnsi="仿宋" w:eastAsia="仿宋" w:cs="仿宋"/>
          <w:bCs/>
          <w:sz w:val="30"/>
          <w:szCs w:val="30"/>
        </w:rPr>
        <w:t>后，均按合同约定，由单位分管财务领导签字后进行支付。该项目中我们严格按照财务有关纪律和程序要求进行资金管理，达到了预期目的。</w:t>
      </w:r>
    </w:p>
    <w:p w14:paraId="24F4F4D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firstLine="640" w:firstLineChars="200"/>
        <w:textAlignment w:val="auto"/>
        <w:outlineLvl w:val="2"/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bookmarkStart w:id="10" w:name="_Toc1210"/>
      <w:r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2.项目实施</w:t>
      </w:r>
      <w:bookmarkEnd w:id="10"/>
    </w:p>
    <w:p w14:paraId="3DB9A20C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firstLine="600" w:firstLineChars="200"/>
        <w:jc w:val="both"/>
        <w:textAlignment w:val="auto"/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sz w:val="30"/>
          <w:szCs w:val="30"/>
          <w:lang w:eastAsia="zh-CN"/>
        </w:rPr>
        <w:t>项目实施前制定资金管理制定，有明确的资金分配及流程，在施工中，项目管理人员随时到实地查看工程进度、检查施工质量和安全隐患等，项目完工及时组织验收、验收合格且资料齐全后支付项目资金。</w:t>
      </w:r>
    </w:p>
    <w:p w14:paraId="542B0D1E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520" w:lineRule="exact"/>
        <w:ind w:left="0"/>
        <w:textAlignment w:val="auto"/>
        <w:outlineLvl w:val="1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bookmarkStart w:id="11" w:name="_Toc6604"/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(三)项目产出情况</w:t>
      </w:r>
      <w:bookmarkEnd w:id="11"/>
    </w:p>
    <w:p w14:paraId="15A408BC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520" w:lineRule="exact"/>
        <w:ind w:left="0"/>
        <w:textAlignment w:val="auto"/>
        <w:outlineLvl w:val="2"/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bookmarkStart w:id="12" w:name="_Toc20742"/>
      <w:r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1.产出数量</w:t>
      </w:r>
      <w:bookmarkEnd w:id="12"/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：完成项目选址</w:t>
      </w:r>
    </w:p>
    <w:p w14:paraId="513511B7">
      <w:pPr>
        <w:pStyle w:val="4"/>
        <w:widowControl/>
        <w:shd w:val="clear" w:color="auto" w:fill="FFFFFF"/>
        <w:spacing w:beforeAutospacing="0" w:afterAutospacing="0" w:line="560" w:lineRule="exact"/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bookmarkStart w:id="13" w:name="_Toc5372"/>
      <w:r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2.产出质量</w:t>
      </w:r>
      <w:bookmarkEnd w:id="13"/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：</w:t>
      </w:r>
      <w:bookmarkStart w:id="14" w:name="_Toc25948"/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项目绩效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年度考核已完成。</w:t>
      </w:r>
    </w:p>
    <w:p w14:paraId="45DF5308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520" w:lineRule="exact"/>
        <w:ind w:left="0"/>
        <w:textAlignment w:val="auto"/>
        <w:outlineLvl w:val="2"/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3.产出成本</w:t>
      </w:r>
      <w:bookmarkEnd w:id="14"/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：项目成本控制在预算范围内。</w:t>
      </w:r>
    </w:p>
    <w:p w14:paraId="3E269311">
      <w:pPr>
        <w:pStyle w:val="4"/>
        <w:widowControl/>
        <w:shd w:val="clear" w:color="auto" w:fill="FFFFFF"/>
        <w:spacing w:beforeAutospacing="0" w:afterAutospacing="0" w:line="560" w:lineRule="exact"/>
        <w:ind w:firstLine="640" w:firstLineChars="200"/>
        <w:jc w:val="both"/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bookmarkStart w:id="15" w:name="_Toc21477"/>
      <w:r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4.产出时效</w:t>
      </w:r>
      <w:bookmarkEnd w:id="15"/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资金拨付及时率，该项目资金拨付到位。</w:t>
      </w:r>
    </w:p>
    <w:p w14:paraId="4F6198D7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520" w:lineRule="exact"/>
        <w:ind w:left="0"/>
        <w:textAlignment w:val="auto"/>
        <w:outlineLvl w:val="1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bookmarkStart w:id="16" w:name="_Toc3072"/>
      <w:bookmarkStart w:id="17" w:name="_Toc12690"/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(四)项目效益情况</w:t>
      </w:r>
      <w:bookmarkEnd w:id="16"/>
      <w:bookmarkEnd w:id="17"/>
    </w:p>
    <w:p w14:paraId="2A4469AD">
      <w:pPr>
        <w:pStyle w:val="8"/>
        <w:spacing w:line="360" w:lineRule="auto"/>
        <w:ind w:firstLine="643" w:firstLineChars="200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1、项目经济性分析</w:t>
      </w:r>
      <w:bookmarkStart w:id="28" w:name="_GoBack"/>
      <w:bookmarkEnd w:id="28"/>
    </w:p>
    <w:p w14:paraId="6F5361FE">
      <w:pPr>
        <w:pStyle w:val="4"/>
        <w:spacing w:before="0" w:beforeAutospacing="0" w:after="150" w:afterAutospacing="0" w:line="510" w:lineRule="atLeast"/>
        <w:ind w:firstLine="480"/>
        <w:jc w:val="both"/>
        <w:rPr>
          <w:rFonts w:hint="eastAsia" w:ascii="仿宋" w:hAnsi="仿宋" w:eastAsia="仿宋" w:cs="仿宋"/>
          <w:color w:val="3D3D3D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（1）项目成本（预算）控制情况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：</w:t>
      </w:r>
      <w:r>
        <w:rPr>
          <w:rFonts w:hint="eastAsia" w:ascii="仿宋" w:hAnsi="仿宋" w:eastAsia="仿宋" w:cs="仿宋"/>
          <w:color w:val="3D3D3D"/>
          <w:sz w:val="32"/>
          <w:szCs w:val="32"/>
        </w:rPr>
        <w:t>项目成本控制在预算范围之内，可控制。</w:t>
      </w:r>
    </w:p>
    <w:p w14:paraId="74727780">
      <w:pPr>
        <w:pStyle w:val="8"/>
        <w:spacing w:line="360" w:lineRule="auto"/>
        <w:ind w:firstLine="640" w:firstLineChars="20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（2）项目成本（预算）节约情况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按照合同金额支付项目款，成本支出控制在预算范围内。</w:t>
      </w:r>
    </w:p>
    <w:p w14:paraId="190D1DC9">
      <w:pPr>
        <w:pStyle w:val="8"/>
        <w:spacing w:line="360" w:lineRule="auto"/>
        <w:ind w:firstLine="643" w:firstLineChars="200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2、项目的效率性分析</w:t>
      </w:r>
    </w:p>
    <w:p w14:paraId="596D2C12">
      <w:pPr>
        <w:pStyle w:val="8"/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（1）项目的实施进度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:</w:t>
      </w:r>
      <w:r>
        <w:rPr>
          <w:rFonts w:hint="eastAsia" w:ascii="仿宋" w:hAnsi="仿宋" w:eastAsia="仿宋" w:cs="仿宋"/>
          <w:color w:val="3D3D3D"/>
          <w:sz w:val="32"/>
          <w:szCs w:val="32"/>
          <w:lang w:val="en-US" w:eastAsia="zh-CN"/>
        </w:rPr>
        <w:t>该</w:t>
      </w:r>
      <w:r>
        <w:rPr>
          <w:rFonts w:hint="eastAsia" w:ascii="仿宋" w:hAnsi="仿宋" w:eastAsia="仿宋" w:cs="仿宋"/>
          <w:color w:val="3D3D3D"/>
          <w:sz w:val="32"/>
          <w:szCs w:val="32"/>
        </w:rPr>
        <w:t>项目</w:t>
      </w:r>
      <w:r>
        <w:rPr>
          <w:rFonts w:hint="eastAsia" w:ascii="仿宋" w:hAnsi="仿宋" w:eastAsia="仿宋" w:cs="仿宋"/>
          <w:color w:val="3D3D3D"/>
          <w:sz w:val="32"/>
          <w:szCs w:val="32"/>
          <w:lang w:val="en-US" w:eastAsia="zh-CN"/>
        </w:rPr>
        <w:t>已初步完成设计、选址</w:t>
      </w:r>
      <w:r>
        <w:rPr>
          <w:rFonts w:hint="eastAsia" w:ascii="仿宋" w:hAnsi="仿宋" w:eastAsia="仿宋" w:cs="仿宋"/>
          <w:color w:val="3D3D3D"/>
          <w:sz w:val="32"/>
          <w:szCs w:val="32"/>
        </w:rPr>
        <w:t>。</w:t>
      </w:r>
    </w:p>
    <w:p w14:paraId="77E7E45A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（2）项目完成质量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：</w:t>
      </w:r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不断丰富广大群众精神文化生活，增加群众满足感，支持群众身边的健身活动，增加群众的成就感。</w:t>
      </w:r>
    </w:p>
    <w:p w14:paraId="4A734D65">
      <w:pPr>
        <w:pStyle w:val="8"/>
        <w:spacing w:line="360" w:lineRule="auto"/>
        <w:ind w:firstLine="643" w:firstLineChars="200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3、项目的效益性分析</w:t>
      </w:r>
    </w:p>
    <w:p w14:paraId="78CED969">
      <w:pPr>
        <w:pStyle w:val="4"/>
        <w:spacing w:before="0" w:beforeAutospacing="0" w:after="150" w:afterAutospacing="0" w:line="510" w:lineRule="atLeast"/>
        <w:ind w:firstLine="480"/>
        <w:jc w:val="both"/>
        <w:rPr>
          <w:rFonts w:hint="eastAsia" w:ascii="仿宋" w:hAnsi="仿宋" w:eastAsia="仿宋" w:cs="仿宋"/>
          <w:color w:val="3D3D3D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（1）项目预期目标完成程度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：</w:t>
      </w:r>
      <w:r>
        <w:rPr>
          <w:rFonts w:hint="eastAsia" w:ascii="仿宋" w:hAnsi="仿宋" w:eastAsia="仿宋" w:cs="仿宋"/>
          <w:color w:val="3D3D3D"/>
          <w:sz w:val="32"/>
          <w:szCs w:val="32"/>
        </w:rPr>
        <w:t>按照项目既定目标，基本完成。</w:t>
      </w:r>
    </w:p>
    <w:p w14:paraId="6B34D66D">
      <w:pPr>
        <w:pStyle w:val="4"/>
        <w:spacing w:before="0" w:beforeAutospacing="0" w:after="150" w:afterAutospacing="0" w:line="510" w:lineRule="atLeast"/>
        <w:ind w:firstLine="480"/>
        <w:jc w:val="both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sz w:val="32"/>
          <w:szCs w:val="32"/>
        </w:rPr>
        <w:t>（2）项目实施对经济和社会的影响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：</w:t>
      </w:r>
      <w:r>
        <w:rPr>
          <w:rFonts w:hint="eastAsia" w:ascii="仿宋" w:hAnsi="仿宋" w:eastAsia="仿宋" w:cs="仿宋"/>
          <w:sz w:val="32"/>
          <w:szCs w:val="32"/>
          <w:shd w:val="clear" w:color="auto" w:fill="FFFFFF"/>
        </w:rPr>
        <w:t>（1）经济效益。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提高专项资金使用效益。（2）社会效益。不断丰富群众文化生活，提高群众幸福生活指数。</w:t>
      </w:r>
      <w:r>
        <w:rPr>
          <w:rFonts w:hint="eastAsia" w:ascii="仿宋" w:hAnsi="仿宋" w:eastAsia="仿宋" w:cs="仿宋"/>
          <w:sz w:val="32"/>
          <w:szCs w:val="32"/>
          <w:shd w:val="clear" w:color="auto" w:fill="FFFFFF"/>
        </w:rPr>
        <w:t>（</w:t>
      </w:r>
      <w:r>
        <w:rPr>
          <w:rFonts w:hint="eastAsia" w:ascii="仿宋" w:hAnsi="仿宋" w:eastAsia="仿宋" w:cs="仿宋"/>
          <w:sz w:val="32"/>
          <w:szCs w:val="32"/>
          <w:shd w:val="clear" w:color="auto" w:fill="FFFFFF"/>
          <w:lang w:val="en-US" w:eastAsia="zh-CN"/>
        </w:rPr>
        <w:t>3</w:t>
      </w:r>
      <w:r>
        <w:rPr>
          <w:rFonts w:hint="eastAsia" w:ascii="仿宋" w:hAnsi="仿宋" w:eastAsia="仿宋" w:cs="仿宋"/>
          <w:sz w:val="32"/>
          <w:szCs w:val="32"/>
          <w:shd w:val="clear" w:color="auto" w:fill="FFFFFF"/>
        </w:rPr>
        <w:t>）可持续影响。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增强全县的文化软实力和品牌影响力。</w:t>
      </w:r>
    </w:p>
    <w:p w14:paraId="24D627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outlineLvl w:val="0"/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bookmarkStart w:id="18" w:name="_Toc390096931"/>
      <w:bookmarkStart w:id="19" w:name="_Toc390267055"/>
      <w:bookmarkStart w:id="20" w:name="_Toc12414"/>
      <w:bookmarkStart w:id="21" w:name="_Toc24241"/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五、项目主要经验、存在的问题</w:t>
      </w:r>
      <w:bookmarkEnd w:id="18"/>
      <w:bookmarkEnd w:id="19"/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及建议</w:t>
      </w:r>
      <w:bookmarkEnd w:id="20"/>
      <w:bookmarkEnd w:id="21"/>
    </w:p>
    <w:p w14:paraId="572AED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3" w:firstLineChars="200"/>
        <w:textAlignment w:val="auto"/>
        <w:outlineLvl w:val="1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bookmarkStart w:id="22" w:name="_Toc23434"/>
      <w:bookmarkStart w:id="23" w:name="_Toc5316"/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（一）项目主要经验</w:t>
      </w:r>
      <w:bookmarkEnd w:id="22"/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及做法</w:t>
      </w:r>
      <w:bookmarkEnd w:id="23"/>
    </w:p>
    <w:p w14:paraId="3367E6B7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2025年，我局以绩效目标实现为导向，进一步加强制度建设，提升自评质量，预算绩效管理取得新成效。一是绩效目标编制，及时报送绩效目标。二是对专项活动开展情况绩效过程进行跟踪监控。三是健全绩效管理工作机制，明确分工，努力提高绩效管理工作水平。</w:t>
      </w:r>
      <w:bookmarkStart w:id="24" w:name="_Toc2597"/>
      <w:bookmarkStart w:id="25" w:name="_Toc6772"/>
    </w:p>
    <w:p w14:paraId="7148DD6F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存在的问题</w:t>
      </w:r>
      <w:bookmarkEnd w:id="24"/>
      <w:bookmarkEnd w:id="25"/>
      <w:bookmarkStart w:id="26" w:name="_Toc16271"/>
      <w:bookmarkStart w:id="27" w:name="_Toc29278"/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 xml:space="preserve">  无</w:t>
      </w:r>
    </w:p>
    <w:p w14:paraId="15F61336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32"/>
          <w:szCs w:val="32"/>
          <w:lang w:val="en-US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（三）有关建议</w:t>
      </w:r>
      <w:bookmarkEnd w:id="26"/>
      <w:bookmarkEnd w:id="27"/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 xml:space="preserve">  无</w:t>
      </w:r>
    </w:p>
    <w:p w14:paraId="639BD6E9"/>
    <w:sectPr>
      <w:footerReference r:id="rId3" w:type="default"/>
      <w:pgSz w:w="11906" w:h="16838"/>
      <w:pgMar w:top="2098" w:right="1800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936571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E09000C">
                          <w:pPr>
                            <w:pStyle w:val="3"/>
                          </w:pPr>
                          <w:r>
                            <w:rPr>
                              <w:rFonts w:hint="eastAsia" w:ascii="方正仿宋_GB2312" w:hAnsi="方正仿宋_GB2312" w:eastAsia="方正仿宋_GB2312" w:cs="方正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方正仿宋_GB2312" w:hAnsi="方正仿宋_GB2312" w:eastAsia="方正仿宋_GB2312" w:cs="方正仿宋_GB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方正仿宋_GB2312" w:hAnsi="方正仿宋_GB2312" w:eastAsia="方正仿宋_GB2312" w:cs="方正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方正仿宋_GB2312" w:hAnsi="方正仿宋_GB2312" w:eastAsia="方正仿宋_GB2312" w:cs="方正仿宋_GB2312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方正仿宋_GB2312" w:hAnsi="方正仿宋_GB2312" w:eastAsia="方正仿宋_GB2312" w:cs="方正仿宋_GB2312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E09000C">
                    <w:pPr>
                      <w:pStyle w:val="3"/>
                    </w:pPr>
                    <w:r>
                      <w:rPr>
                        <w:rFonts w:hint="eastAsia" w:ascii="方正仿宋_GB2312" w:hAnsi="方正仿宋_GB2312" w:eastAsia="方正仿宋_GB2312" w:cs="方正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方正仿宋_GB2312" w:hAnsi="方正仿宋_GB2312" w:eastAsia="方正仿宋_GB2312" w:cs="方正仿宋_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方正仿宋_GB2312" w:hAnsi="方正仿宋_GB2312" w:eastAsia="方正仿宋_GB2312" w:cs="方正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方正仿宋_GB2312" w:hAnsi="方正仿宋_GB2312" w:eastAsia="方正仿宋_GB2312" w:cs="方正仿宋_GB2312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方正仿宋_GB2312" w:hAnsi="方正仿宋_GB2312" w:eastAsia="方正仿宋_GB2312" w:cs="方正仿宋_GB2312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EA92E78"/>
    <w:multiLevelType w:val="singleLevel"/>
    <w:tmpl w:val="3EA92E78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944EC8"/>
    <w:rsid w:val="0491110B"/>
    <w:rsid w:val="04942090"/>
    <w:rsid w:val="07C40FCD"/>
    <w:rsid w:val="081D4EDF"/>
    <w:rsid w:val="09613968"/>
    <w:rsid w:val="0990373C"/>
    <w:rsid w:val="0ABF04CF"/>
    <w:rsid w:val="0CB332F9"/>
    <w:rsid w:val="0E6C093E"/>
    <w:rsid w:val="118712CE"/>
    <w:rsid w:val="138E1A23"/>
    <w:rsid w:val="15185CA7"/>
    <w:rsid w:val="15364B16"/>
    <w:rsid w:val="1B0845BF"/>
    <w:rsid w:val="1C6A182A"/>
    <w:rsid w:val="1CF27B0C"/>
    <w:rsid w:val="2137748C"/>
    <w:rsid w:val="242362B9"/>
    <w:rsid w:val="25665261"/>
    <w:rsid w:val="26E92BE5"/>
    <w:rsid w:val="29D457AB"/>
    <w:rsid w:val="2A15789A"/>
    <w:rsid w:val="2F2E25E2"/>
    <w:rsid w:val="361F45AE"/>
    <w:rsid w:val="37445638"/>
    <w:rsid w:val="37B855F7"/>
    <w:rsid w:val="39C827CB"/>
    <w:rsid w:val="3BBE66C0"/>
    <w:rsid w:val="3C593492"/>
    <w:rsid w:val="3D5F6685"/>
    <w:rsid w:val="3EC30088"/>
    <w:rsid w:val="3F4D0EE6"/>
    <w:rsid w:val="40140D01"/>
    <w:rsid w:val="402C0554"/>
    <w:rsid w:val="42D25330"/>
    <w:rsid w:val="46882DD7"/>
    <w:rsid w:val="4937272B"/>
    <w:rsid w:val="4D280F36"/>
    <w:rsid w:val="52612F74"/>
    <w:rsid w:val="574A6F1D"/>
    <w:rsid w:val="5A6E0872"/>
    <w:rsid w:val="5B5232C3"/>
    <w:rsid w:val="5C7774C0"/>
    <w:rsid w:val="5ECB4491"/>
    <w:rsid w:val="60741828"/>
    <w:rsid w:val="621B5E82"/>
    <w:rsid w:val="675A129D"/>
    <w:rsid w:val="68B946DC"/>
    <w:rsid w:val="69E750D3"/>
    <w:rsid w:val="6B3311A3"/>
    <w:rsid w:val="71A51882"/>
    <w:rsid w:val="72A94257"/>
    <w:rsid w:val="73A722CC"/>
    <w:rsid w:val="756E1C38"/>
    <w:rsid w:val="78874187"/>
    <w:rsid w:val="7CF161E2"/>
    <w:rsid w:val="7F9E3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unhideWhenUsed/>
    <w:qFormat/>
    <w:uiPriority w:val="0"/>
    <w:pPr>
      <w:spacing w:beforeLines="0" w:afterLines="0"/>
      <w:ind w:firstLine="640" w:firstLineChars="200"/>
    </w:pPr>
    <w:rPr>
      <w:rFonts w:hint="default"/>
      <w:sz w:val="32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5">
    <w:name w:val="Body Text First Indent 2"/>
    <w:basedOn w:val="2"/>
    <w:unhideWhenUsed/>
    <w:qFormat/>
    <w:uiPriority w:val="99"/>
    <w:pPr>
      <w:spacing w:beforeLines="0" w:afterLines="0"/>
      <w:ind w:firstLine="420"/>
    </w:pPr>
    <w:rPr>
      <w:rFonts w:hint="default"/>
      <w:sz w:val="32"/>
    </w:rPr>
  </w:style>
  <w:style w:type="paragraph" w:customStyle="1" w:styleId="8">
    <w:name w:val="无间隔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686</Words>
  <Characters>708</Characters>
  <Lines>0</Lines>
  <Paragraphs>0</Paragraphs>
  <TotalTime>18</TotalTime>
  <ScaleCrop>false</ScaleCrop>
  <LinksUpToDate>false</LinksUpToDate>
  <CharactersWithSpaces>875</CharactersWithSpaces>
  <Application>WPS Office_12.8.2.19823_F1E327BC-269C-435d-A152-05C5408002CA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2025-02-17T08:53:00Z</dcterms:created>
  <dc:creator>Administrator</dc:creator>
  <cp:lastModifiedBy>Administrator</cp:lastModifiedBy>
  <dcterms:modified xsi:type="dcterms:W3CDTF">2026-06-21T02:10:10Z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2052-12.8.2.19823</vt:lpwstr>
  </property>
  <property fmtid="{D5CDD505-2E9C-101B-9397-08002B2CF9AE}" pid="3" name="KSOTemplateDocerSaveRecord">
    <vt:lpwstr>eyJoZGlkIjoiYzQxMDE5YzE5YTY1N2RjMTU4YmQ1MWEzNmRlMjMyNzEiLCJ1c2VySWQiOiIyOTAwNjgxNjYifQ==</vt:lpwstr>
  </property>
  <property fmtid="{D5CDD505-2E9C-101B-9397-08002B2CF9AE}" pid="4" name="ICV">
    <vt:lpwstr>727097A6A05647B9A2AC6A0A56E6A72C_12</vt:lpwstr>
  </property>
</Properties>
</file>