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B2E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旅游宣传</w:t>
      </w:r>
      <w:r>
        <w:rPr>
          <w:rFonts w:hint="eastAsia" w:ascii="方正小标宋_GBK" w:hAnsi="方正小标宋_GBK" w:eastAsia="方正小标宋_GBK" w:cs="方正小标宋_GBK"/>
          <w:i w:val="0"/>
          <w:iCs w:val="0"/>
          <w:caps w:val="0"/>
          <w:color w:val="000000"/>
          <w:spacing w:val="0"/>
          <w:sz w:val="44"/>
          <w:szCs w:val="44"/>
          <w:shd w:val="clear" w:fill="FFFFFF"/>
        </w:rPr>
        <w:t>项目支出绩效自评报告</w:t>
      </w:r>
    </w:p>
    <w:p w14:paraId="1F1BAB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_GBK" w:hAnsi="方正小标宋_GBK" w:eastAsia="方正小标宋_GBK" w:cs="方正小标宋_GBK"/>
          <w:i w:val="0"/>
          <w:iCs w:val="0"/>
          <w:caps w:val="0"/>
          <w:color w:val="000000"/>
          <w:spacing w:val="0"/>
          <w:sz w:val="24"/>
          <w:szCs w:val="24"/>
        </w:rPr>
      </w:pPr>
    </w:p>
    <w:p w14:paraId="6AFF06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方正小标宋_GBK" w:hAnsi="方正小标宋_GBK" w:eastAsia="方正小标宋_GBK" w:cs="方正小标宋_GBK"/>
          <w:i w:val="0"/>
          <w:iCs w:val="0"/>
          <w:caps w:val="0"/>
          <w:color w:val="000000"/>
          <w:spacing w:val="0"/>
          <w:sz w:val="32"/>
          <w:szCs w:val="32"/>
          <w:shd w:val="clear" w:fill="FFFFFF"/>
        </w:rPr>
        <w:t> </w:t>
      </w:r>
      <w:r>
        <w:rPr>
          <w:rFonts w:hint="eastAsia" w:ascii="黑体" w:hAnsi="黑体" w:eastAsia="黑体" w:cs="黑体"/>
          <w:i w:val="0"/>
          <w:iCs w:val="0"/>
          <w:caps w:val="0"/>
          <w:color w:val="000000"/>
          <w:spacing w:val="0"/>
          <w:sz w:val="32"/>
          <w:szCs w:val="32"/>
          <w:shd w:val="clear" w:fill="FFFFFF"/>
        </w:rPr>
        <w:t>一、项目基本情况</w:t>
      </w:r>
    </w:p>
    <w:p w14:paraId="479EC3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（一）项目概况</w:t>
      </w:r>
    </w:p>
    <w:p w14:paraId="0AFA19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1.项目决策背景</w:t>
      </w:r>
      <w:r>
        <w:rPr>
          <w:rFonts w:hint="eastAsia" w:ascii="仿宋_GB2312" w:eastAsia="仿宋_GB2312" w:cs="仿宋_GB2312"/>
          <w:i w:val="0"/>
          <w:iCs w:val="0"/>
          <w:caps w:val="0"/>
          <w:color w:val="000000"/>
          <w:spacing w:val="0"/>
          <w:kern w:val="0"/>
          <w:sz w:val="32"/>
          <w:szCs w:val="32"/>
          <w:shd w:val="clear" w:fill="FFFFFF"/>
          <w:lang w:val="en-US" w:eastAsia="zh-CN" w:bidi="ar"/>
        </w:rPr>
        <w:t>：依据“十四五”文化和旅游发展规划，通过系列文化旅游宣推活动，提升沅陵影响力。</w:t>
      </w:r>
    </w:p>
    <w:p w14:paraId="2C8F56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2.项目主要内容</w:t>
      </w:r>
      <w:r>
        <w:rPr>
          <w:rFonts w:hint="eastAsia" w:ascii="仿宋_GB2312" w:eastAsia="仿宋_GB2312" w:cs="仿宋_GB2312"/>
          <w:i w:val="0"/>
          <w:iCs w:val="0"/>
          <w:caps w:val="0"/>
          <w:color w:val="000000"/>
          <w:spacing w:val="0"/>
          <w:kern w:val="0"/>
          <w:sz w:val="32"/>
          <w:szCs w:val="32"/>
          <w:shd w:val="clear" w:fill="FFFFFF"/>
          <w:lang w:val="en-US" w:eastAsia="zh-CN" w:bidi="ar"/>
        </w:rPr>
        <w:t>：开展旅游宣传服务、红色旅游文化节、文旅产业发展奖补、文旅观摩业态植入宣传等活动　</w:t>
      </w:r>
    </w:p>
    <w:p w14:paraId="2BA606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3.项目组织管理机构</w:t>
      </w:r>
      <w:r>
        <w:rPr>
          <w:rFonts w:hint="eastAsia" w:ascii="仿宋_GB2312" w:eastAsia="仿宋_GB2312" w:cs="仿宋_GB2312"/>
          <w:i w:val="0"/>
          <w:iCs w:val="0"/>
          <w:caps w:val="0"/>
          <w:color w:val="000000"/>
          <w:spacing w:val="0"/>
          <w:kern w:val="0"/>
          <w:sz w:val="32"/>
          <w:szCs w:val="32"/>
          <w:shd w:val="clear" w:fill="FFFFFF"/>
          <w:lang w:val="en-US" w:eastAsia="zh-CN" w:bidi="ar"/>
        </w:rPr>
        <w:t>：沅陵县文旅广体局</w:t>
      </w:r>
    </w:p>
    <w:p w14:paraId="7FD3FF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楷体" w:hAnsi="楷体" w:eastAsia="楷体" w:cs="楷体"/>
          <w:b/>
          <w:bCs/>
          <w:i w:val="0"/>
          <w:iCs w:val="0"/>
          <w:caps w:val="0"/>
          <w:color w:val="000000"/>
          <w:spacing w:val="0"/>
          <w:sz w:val="32"/>
          <w:szCs w:val="32"/>
          <w:shd w:val="clear" w:fill="FFFFFF"/>
        </w:rPr>
      </w:pPr>
      <w:r>
        <w:rPr>
          <w:rFonts w:hint="default" w:ascii="楷体" w:hAnsi="楷体" w:eastAsia="楷体" w:cs="楷体"/>
          <w:b/>
          <w:bCs/>
          <w:i w:val="0"/>
          <w:iCs w:val="0"/>
          <w:caps w:val="0"/>
          <w:color w:val="000000"/>
          <w:spacing w:val="0"/>
          <w:sz w:val="32"/>
          <w:szCs w:val="32"/>
          <w:shd w:val="clear" w:fill="FFFFFF"/>
        </w:rPr>
        <w:t>（二）预算资金使用管理情况</w:t>
      </w:r>
    </w:p>
    <w:p w14:paraId="657DE2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1"/>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bookmarkStart w:id="0" w:name="_Toc108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1.预算资金安排及管理情况</w:t>
      </w:r>
      <w:bookmarkEnd w:id="0"/>
    </w:p>
    <w:p w14:paraId="3E181D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（1）资金来源及拨付流程</w:t>
      </w:r>
      <w:r>
        <w:rPr>
          <w:rFonts w:hint="eastAsia" w:ascii="仿宋_GB2312" w:eastAsia="仿宋_GB2312" w:cs="仿宋_GB2312"/>
          <w:i w:val="0"/>
          <w:iCs w:val="0"/>
          <w:caps w:val="0"/>
          <w:color w:val="000000"/>
          <w:spacing w:val="0"/>
          <w:kern w:val="0"/>
          <w:sz w:val="32"/>
          <w:szCs w:val="32"/>
          <w:shd w:val="clear" w:fill="FFFFFF"/>
          <w:lang w:val="en-US" w:eastAsia="zh-CN" w:bidi="ar"/>
        </w:rPr>
        <w:t>：</w:t>
      </w:r>
    </w:p>
    <w:p w14:paraId="53FE0F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资金来源为财政预算内一般公共预算资金，拨付流程按年初预算金额用款单位提交资金申报用款计划，财政局归口股室审核，分管领导审核，财政国库审批用款计划，用款计划进入支付流程，用款单位录入支付额度，国库审核，发送银行，代理银行确认付款。</w:t>
      </w:r>
    </w:p>
    <w:p w14:paraId="54D243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（2）资金到位情况</w:t>
      </w:r>
      <w:r>
        <w:rPr>
          <w:rFonts w:hint="eastAsia" w:ascii="仿宋_GB2312" w:eastAsia="仿宋_GB2312" w:cs="仿宋_GB2312"/>
          <w:i w:val="0"/>
          <w:iCs w:val="0"/>
          <w:caps w:val="0"/>
          <w:color w:val="000000"/>
          <w:spacing w:val="0"/>
          <w:kern w:val="0"/>
          <w:sz w:val="32"/>
          <w:szCs w:val="32"/>
          <w:shd w:val="clear" w:fill="FFFFFF"/>
          <w:lang w:val="en-US" w:eastAsia="zh-CN" w:bidi="ar"/>
        </w:rPr>
        <w:t>：2025年旅游宣传活动经费196.32万元已到位，到位率100%。</w:t>
      </w:r>
    </w:p>
    <w:p w14:paraId="4BE7A226">
      <w:pPr>
        <w:spacing w:line="580" w:lineRule="exact"/>
        <w:ind w:firstLine="640" w:firstLineChars="200"/>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（2）资金使用情况</w:t>
      </w:r>
      <w:r>
        <w:rPr>
          <w:rFonts w:hint="eastAsia" w:ascii="仿宋_GB2312" w:eastAsia="仿宋_GB2312" w:cs="仿宋_GB2312"/>
          <w:i w:val="0"/>
          <w:iCs w:val="0"/>
          <w:caps w:val="0"/>
          <w:color w:val="000000"/>
          <w:spacing w:val="0"/>
          <w:kern w:val="0"/>
          <w:sz w:val="32"/>
          <w:szCs w:val="32"/>
          <w:shd w:val="clear" w:fill="FFFFFF"/>
          <w:lang w:val="en-US" w:eastAsia="zh-CN" w:bidi="ar"/>
        </w:rPr>
        <w:t>：</w:t>
      </w:r>
    </w:p>
    <w:p w14:paraId="5AD153AA">
      <w:pPr>
        <w:spacing w:line="58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1.资金</w:t>
      </w:r>
      <w:r>
        <w:rPr>
          <w:rFonts w:hint="eastAsia" w:ascii="Times New Roman" w:hAnsi="Times New Roman" w:eastAsia="仿宋_GB2312"/>
          <w:sz w:val="32"/>
          <w:szCs w:val="32"/>
          <w:lang w:val="en-US" w:eastAsia="zh-CN"/>
        </w:rPr>
        <w:t>拨付合规性</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资金拨付符合国库集中支付制度，专款专用等规定，拨付流程规范。</w:t>
      </w:r>
    </w:p>
    <w:p w14:paraId="2723C817">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2.使用规范性：严格按照预算</w:t>
      </w:r>
      <w:r>
        <w:rPr>
          <w:rFonts w:hint="eastAsia" w:ascii="Times New Roman" w:hAnsi="Times New Roman" w:eastAsia="仿宋_GB2312"/>
          <w:sz w:val="32"/>
          <w:szCs w:val="32"/>
          <w:lang w:val="en-US" w:eastAsia="zh-CN"/>
        </w:rPr>
        <w:t>安排，专项管理</w:t>
      </w:r>
      <w:r>
        <w:rPr>
          <w:rFonts w:hint="eastAsia" w:ascii="Times New Roman" w:hAnsi="Times New Roman" w:eastAsia="仿宋_GB2312"/>
          <w:sz w:val="32"/>
          <w:szCs w:val="32"/>
        </w:rPr>
        <w:t>，不存在截留、挤占、挪用或擅自调整等问题；</w:t>
      </w:r>
    </w:p>
    <w:p w14:paraId="763189E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jc w:val="both"/>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Times New Roman" w:hAnsi="Times New Roman" w:eastAsia="仿宋_GB2312"/>
          <w:sz w:val="32"/>
          <w:szCs w:val="32"/>
        </w:rPr>
        <w:t>3.执行准确性：</w:t>
      </w:r>
      <w:r>
        <w:rPr>
          <w:rFonts w:hint="eastAsia" w:ascii="仿宋" w:hAnsi="仿宋" w:eastAsia="仿宋"/>
          <w:sz w:val="28"/>
          <w:szCs w:val="28"/>
          <w:lang w:val="en-US" w:eastAsia="zh-CN"/>
        </w:rPr>
        <w:t>旅游宣传活动</w:t>
      </w:r>
      <w:r>
        <w:rPr>
          <w:rFonts w:hint="eastAsia" w:ascii="Times New Roman" w:hAnsi="Times New Roman" w:eastAsia="仿宋_GB2312"/>
          <w:sz w:val="32"/>
          <w:szCs w:val="32"/>
          <w:lang w:val="en-US" w:eastAsia="zh-CN"/>
        </w:rPr>
        <w:t>专项资金</w:t>
      </w:r>
      <w:r>
        <w:rPr>
          <w:rFonts w:hint="eastAsia" w:ascii="Times New Roman" w:hAnsi="Times New Roman" w:eastAsia="仿宋_GB2312"/>
          <w:sz w:val="32"/>
          <w:szCs w:val="32"/>
        </w:rPr>
        <w:t>执行率100%</w:t>
      </w:r>
      <w:r>
        <w:rPr>
          <w:rFonts w:hint="eastAsia" w:ascii="Times New Roman" w:hAnsi="Times New Roman" w:eastAsia="仿宋_GB2312"/>
          <w:sz w:val="32"/>
          <w:szCs w:val="32"/>
          <w:lang w:eastAsia="zh-CN"/>
        </w:rPr>
        <w:t>。</w:t>
      </w:r>
    </w:p>
    <w:p w14:paraId="6697D2DE">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（3）资金管理制度及执行情况</w:t>
      </w:r>
    </w:p>
    <w:p w14:paraId="30F751B2">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bCs/>
          <w:sz w:val="32"/>
          <w:szCs w:val="32"/>
        </w:rPr>
      </w:pPr>
      <w:r>
        <w:rPr>
          <w:rFonts w:hint="eastAsia" w:ascii="仿宋" w:hAnsi="仿宋" w:eastAsia="仿宋" w:cs="仿宋"/>
          <w:bCs/>
          <w:sz w:val="32"/>
          <w:szCs w:val="32"/>
        </w:rPr>
        <w:t>凡拨付到我单位的专项资金，我们均做到专款专用，绝不挤占不挪用，专项资金由财政拨</w:t>
      </w:r>
      <w:r>
        <w:rPr>
          <w:rFonts w:hint="eastAsia" w:ascii="仿宋" w:hAnsi="仿宋" w:eastAsia="仿宋" w:cs="仿宋"/>
          <w:bCs/>
          <w:sz w:val="32"/>
          <w:szCs w:val="32"/>
          <w:lang w:val="en-US" w:eastAsia="zh-CN"/>
        </w:rPr>
        <w:t>我局</w:t>
      </w:r>
      <w:r>
        <w:rPr>
          <w:rFonts w:hint="eastAsia" w:ascii="仿宋" w:hAnsi="仿宋" w:eastAsia="仿宋" w:cs="仿宋"/>
          <w:bCs/>
          <w:sz w:val="32"/>
          <w:szCs w:val="32"/>
        </w:rPr>
        <w:t>后，均按合同约定，由单位分管财务领导签字后进行支付。该项目中我们严格按照财务有关纪律和程序要求进行资金管理，达到了预期目的。</w:t>
      </w:r>
    </w:p>
    <w:p w14:paraId="34C35062">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t>2.项目组织实施管理情况</w:t>
      </w:r>
    </w:p>
    <w:p w14:paraId="41F5B506">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bCs/>
          <w:sz w:val="32"/>
          <w:szCs w:val="32"/>
        </w:rPr>
      </w:pPr>
      <w:r>
        <w:rPr>
          <w:rFonts w:hint="eastAsia" w:ascii="仿宋" w:hAnsi="仿宋" w:eastAsia="仿宋" w:cs="仿宋"/>
          <w:bCs/>
          <w:kern w:val="2"/>
          <w:sz w:val="32"/>
          <w:szCs w:val="32"/>
          <w:lang w:val="en-US" w:eastAsia="zh-CN" w:bidi="ar-SA"/>
        </w:rPr>
        <w:t>3</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仿宋"/>
          <w:b w:val="0"/>
          <w:bCs w:val="0"/>
          <w:sz w:val="32"/>
          <w:szCs w:val="32"/>
        </w:rPr>
        <w:t>1</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仿宋"/>
          <w:sz w:val="32"/>
          <w:szCs w:val="32"/>
        </w:rPr>
        <w:t>项目组织情况分析</w:t>
      </w:r>
      <w:r>
        <w:rPr>
          <w:rFonts w:hint="eastAsia" w:ascii="仿宋" w:hAnsi="仿宋" w:eastAsia="仿宋" w:cs="仿宋"/>
          <w:bCs/>
          <w:sz w:val="32"/>
          <w:szCs w:val="32"/>
        </w:rPr>
        <w:t>该项目中我们按照</w:t>
      </w:r>
      <w:r>
        <w:rPr>
          <w:rFonts w:hint="eastAsia" w:ascii="仿宋" w:hAnsi="仿宋" w:eastAsia="仿宋" w:cs="仿宋"/>
          <w:bCs/>
          <w:sz w:val="32"/>
          <w:szCs w:val="32"/>
          <w:lang w:eastAsia="zh-CN"/>
        </w:rPr>
        <w:t>政府采购</w:t>
      </w:r>
      <w:r>
        <w:rPr>
          <w:rFonts w:hint="eastAsia" w:ascii="仿宋" w:hAnsi="仿宋" w:eastAsia="仿宋" w:cs="仿宋"/>
          <w:bCs/>
          <w:sz w:val="32"/>
          <w:szCs w:val="32"/>
        </w:rPr>
        <w:t>法律规定方式，</w:t>
      </w:r>
      <w:r>
        <w:rPr>
          <w:rFonts w:hint="eastAsia" w:ascii="仿宋" w:hAnsi="仿宋" w:eastAsia="仿宋" w:cs="仿宋"/>
          <w:bCs/>
          <w:sz w:val="32"/>
          <w:szCs w:val="32"/>
          <w:lang w:eastAsia="zh-CN"/>
        </w:rPr>
        <w:t>对</w:t>
      </w:r>
      <w:r>
        <w:rPr>
          <w:rFonts w:hint="eastAsia" w:ascii="仿宋" w:hAnsi="仿宋" w:eastAsia="仿宋" w:cs="仿宋"/>
          <w:bCs/>
          <w:sz w:val="32"/>
          <w:szCs w:val="32"/>
          <w:lang w:val="en-US" w:eastAsia="zh-CN"/>
        </w:rPr>
        <w:t>文物</w:t>
      </w:r>
      <w:r>
        <w:rPr>
          <w:rFonts w:hint="eastAsia" w:ascii="仿宋" w:hAnsi="仿宋" w:eastAsia="仿宋" w:cs="仿宋"/>
          <w:bCs/>
          <w:sz w:val="32"/>
          <w:szCs w:val="32"/>
          <w:lang w:eastAsia="zh-CN"/>
        </w:rPr>
        <w:t>保护项目中需要进行</w:t>
      </w:r>
      <w:r>
        <w:rPr>
          <w:rFonts w:hint="eastAsia" w:ascii="仿宋" w:hAnsi="仿宋" w:eastAsia="仿宋" w:cs="仿宋"/>
          <w:bCs/>
          <w:sz w:val="32"/>
          <w:szCs w:val="32"/>
          <w:lang w:val="en-US" w:eastAsia="zh-CN"/>
        </w:rPr>
        <w:t>工程</w:t>
      </w:r>
      <w:r>
        <w:rPr>
          <w:rFonts w:hint="eastAsia" w:ascii="仿宋" w:hAnsi="仿宋" w:eastAsia="仿宋" w:cs="仿宋"/>
          <w:bCs/>
          <w:sz w:val="32"/>
          <w:szCs w:val="32"/>
          <w:lang w:eastAsia="zh-CN"/>
        </w:rPr>
        <w:t>采购的项目进行采购。</w:t>
      </w: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项目管理情况分析</w:t>
      </w:r>
      <w:r>
        <w:rPr>
          <w:rFonts w:hint="eastAsia" w:ascii="仿宋" w:hAnsi="仿宋" w:eastAsia="仿宋" w:cs="仿宋"/>
          <w:bCs/>
          <w:sz w:val="32"/>
          <w:szCs w:val="32"/>
        </w:rPr>
        <w:t>按照专项资金项目管理制度，经常性自查，派驻工程管理人员进行监督。</w:t>
      </w:r>
    </w:p>
    <w:p w14:paraId="7250B705">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（三）</w:t>
      </w:r>
      <w:r>
        <w:rPr>
          <w:rFonts w:hint="eastAsia" w:ascii="楷体" w:hAnsi="楷体" w:eastAsia="楷体" w:cs="楷体"/>
          <w:b/>
          <w:bCs/>
          <w:i w:val="0"/>
          <w:iCs w:val="0"/>
          <w:caps w:val="0"/>
          <w:color w:val="000000"/>
          <w:spacing w:val="0"/>
          <w:sz w:val="32"/>
          <w:szCs w:val="32"/>
          <w:shd w:val="clear" w:fill="FFFFFF"/>
        </w:rPr>
        <w:t>预算绩效目标情况</w:t>
      </w:r>
    </w:p>
    <w:p w14:paraId="035FF2AE">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1.绩效目标</w:t>
      </w: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en-US" w:eastAsia="zh-CN" w:bidi="ar"/>
        </w:rPr>
        <w:t>增加沅陵景区旅游亮点，提升沅陵旅游知名度，促进我县文旅事业的发展。</w:t>
      </w:r>
    </w:p>
    <w:p w14:paraId="3FE4F725">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2.绩效指标</w:t>
      </w:r>
      <w:r>
        <w:rPr>
          <w:rFonts w:hint="eastAsia" w:ascii="仿宋" w:hAnsi="仿宋" w:eastAsia="仿宋" w:cs="仿宋"/>
          <w:i w:val="0"/>
          <w:iCs w:val="0"/>
          <w:caps w:val="0"/>
          <w:color w:val="000000"/>
          <w:spacing w:val="0"/>
          <w:kern w:val="0"/>
          <w:sz w:val="32"/>
          <w:szCs w:val="32"/>
          <w:shd w:val="clear" w:fill="FFFFFF"/>
          <w:lang w:val="en-US" w:eastAsia="zh-CN" w:bidi="ar"/>
        </w:rPr>
        <w:t>（一）成本指标：①经济成本指标，旅游宣传活动经费196.32万元，②社会成本指标：社会成本节约率0，③生态环境成本指标：生态环境成本节约率0。（二）产出指标：①数量指标：旅游宣传活动项目完成率100%，②质量指标 项目绩效目标达成率100%，③时效指标：完成及时性，2025年12月31日之前完成。（三）效益指标：①经济效益指标 提高专项资金使用效益。②社会效益指标 推动全县社会主义精神文明建设，促进全县文化产业及旅游产业的双轮驱动，为全面建设小康社会和实现中华民族伟大复兴注入了强大的文化能量。③生态效益指标：改善文化宣传环境。④持续提升公共文化服务质量和服务效果带动县域经济发展。（四）满意度指标：服务对象满意率大于90以上。</w:t>
      </w:r>
    </w:p>
    <w:p w14:paraId="3ED1CB7A">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二、绩效评价工作情况</w:t>
      </w:r>
    </w:p>
    <w:p w14:paraId="16F458BE">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1"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（一）绩效评价目的</w:t>
      </w:r>
    </w:p>
    <w:p w14:paraId="642B0795">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在于强化绩效理念，提高部门履职能力。</w:t>
      </w:r>
      <w:bookmarkStart w:id="1" w:name="_Toc11844"/>
    </w:p>
    <w:p w14:paraId="73484D4B">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1"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（二）被评价单位、绩效评价范围与时段</w:t>
      </w:r>
      <w:bookmarkEnd w:id="1"/>
    </w:p>
    <w:p w14:paraId="2185394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00" w:firstLineChars="100"/>
        <w:textAlignment w:val="auto"/>
        <w:rPr>
          <w:rFonts w:hint="eastAsia" w:ascii="仿宋" w:hAnsi="仿宋" w:eastAsia="仿宋" w:cs="仿宋"/>
          <w:sz w:val="30"/>
          <w:szCs w:val="30"/>
          <w:lang w:eastAsia="zh-CN"/>
        </w:rPr>
      </w:pPr>
      <w:r>
        <w:rPr>
          <w:rFonts w:hint="eastAsia" w:ascii="仿宋" w:hAnsi="仿宋" w:eastAsia="仿宋" w:cs="仿宋"/>
          <w:kern w:val="2"/>
          <w:sz w:val="30"/>
          <w:szCs w:val="30"/>
          <w:lang w:val="en-US" w:eastAsia="zh-CN" w:bidi="ar-SA"/>
        </w:rPr>
        <w:t>（三）</w:t>
      </w:r>
      <w:r>
        <w:rPr>
          <w:rFonts w:hint="eastAsia" w:ascii="仿宋" w:hAnsi="仿宋" w:eastAsia="仿宋" w:cs="仿宋"/>
          <w:b w:val="0"/>
          <w:bCs w:val="0"/>
          <w:i w:val="0"/>
          <w:iCs w:val="0"/>
          <w:caps w:val="0"/>
          <w:color w:val="000000"/>
          <w:spacing w:val="0"/>
          <w:kern w:val="0"/>
          <w:sz w:val="30"/>
          <w:szCs w:val="30"/>
          <w:shd w:val="clear" w:fill="FFFFFF"/>
          <w:lang w:val="en-US" w:eastAsia="zh-CN" w:bidi="ar"/>
        </w:rPr>
        <w:t>被评价单位为沅陵县文化旅游广电体育局，绩效评价范围与时段为</w:t>
      </w: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25</w:t>
      </w:r>
      <w:r>
        <w:rPr>
          <w:rFonts w:hint="eastAsia" w:ascii="仿宋" w:hAnsi="仿宋" w:eastAsia="仿宋" w:cs="仿宋"/>
          <w:sz w:val="30"/>
          <w:szCs w:val="30"/>
          <w:lang w:eastAsia="zh-CN"/>
        </w:rPr>
        <w:t>年度使用的所有财政性资金。</w:t>
      </w:r>
      <w:bookmarkStart w:id="2" w:name="_Toc31835"/>
    </w:p>
    <w:p w14:paraId="0AF1D54E">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321"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（四）绩效评价原则、评价指标体系、评价方法</w:t>
      </w:r>
      <w:bookmarkEnd w:id="2"/>
    </w:p>
    <w:p w14:paraId="3670B95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根据财政部关于印发《项目支出绩效评价管理办法》（财预〔20</w:t>
      </w:r>
      <w:r>
        <w:rPr>
          <w:rFonts w:hint="eastAsia" w:ascii="仿宋" w:hAnsi="仿宋" w:eastAsia="仿宋" w:cs="仿宋"/>
          <w:sz w:val="30"/>
          <w:szCs w:val="30"/>
          <w:lang w:val="en-US" w:eastAsia="zh-CN"/>
        </w:rPr>
        <w:t>20</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号）和《中共湖南省委办公厅湖南省人民政府办公厅关于全面实施预算绩效目标管理的实施意见》（湘办发〔201</w:t>
      </w:r>
      <w:r>
        <w:rPr>
          <w:rFonts w:hint="eastAsia" w:ascii="仿宋" w:hAnsi="仿宋" w:eastAsia="仿宋" w:cs="仿宋"/>
          <w:sz w:val="30"/>
          <w:szCs w:val="30"/>
          <w:lang w:val="en-US" w:eastAsia="zh-CN"/>
        </w:rPr>
        <w:t>9</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号）等文件要求，</w:t>
      </w:r>
      <w:r>
        <w:rPr>
          <w:rFonts w:hint="eastAsia" w:ascii="仿宋" w:hAnsi="仿宋" w:eastAsia="仿宋" w:cs="仿宋"/>
          <w:sz w:val="30"/>
          <w:szCs w:val="30"/>
          <w:lang w:val="en-US" w:eastAsia="zh-CN"/>
        </w:rPr>
        <w:t>涉及</w:t>
      </w:r>
      <w:r>
        <w:rPr>
          <w:rFonts w:hint="eastAsia" w:ascii="仿宋" w:hAnsi="仿宋" w:eastAsia="仿宋" w:cs="仿宋"/>
          <w:sz w:val="30"/>
          <w:szCs w:val="30"/>
          <w:lang w:eastAsia="zh-CN"/>
        </w:rPr>
        <w:t>部门职能、规划、年度工作计划，部门预算资金、项目管理规定和财务会计制度，财政部门预算批复、部门年度预算执行情况、年度决算报告等。</w:t>
      </w:r>
      <w:bookmarkStart w:id="3" w:name="_Toc7615"/>
      <w:bookmarkStart w:id="4" w:name="_Toc32076"/>
    </w:p>
    <w:p w14:paraId="3C65E329">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三、主要绩效及评价结论</w:t>
      </w:r>
      <w:bookmarkEnd w:id="3"/>
      <w:bookmarkEnd w:id="4"/>
    </w:p>
    <w:p w14:paraId="1097E46C">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（一）社会效益：</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推动文旅行业营商环境优化</w:t>
      </w:r>
    </w:p>
    <w:p w14:paraId="753804B1">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（二）生态效益：</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推动生态旅游建设。</w:t>
      </w:r>
    </w:p>
    <w:p w14:paraId="5E6965F2">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（三）可持续影响：</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增强全县的文化软实力和品牌影响力。</w:t>
      </w:r>
      <w:r>
        <w:rPr>
          <w:rFonts w:hint="eastAsia" w:ascii="楷体" w:hAnsi="楷体" w:eastAsia="楷体" w:cs="楷体"/>
          <w:b/>
          <w:bCs/>
          <w:i w:val="0"/>
          <w:iCs w:val="0"/>
          <w:caps w:val="0"/>
          <w:color w:val="000000"/>
          <w:spacing w:val="0"/>
          <w:kern w:val="0"/>
          <w:sz w:val="32"/>
          <w:szCs w:val="32"/>
          <w:shd w:val="clear" w:fill="FFFFFF"/>
          <w:lang w:val="en-US" w:eastAsia="zh-CN" w:bidi="ar"/>
        </w:rPr>
        <w:t>（四）满意度情况：</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群众满意度大于90%。</w:t>
      </w:r>
    </w:p>
    <w:p w14:paraId="41DF706A">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（五）评价结论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2025年单位旅游宣传活动工作任务已完成，目标责任履职情况良好,专项绩效自评综合得分为100分。</w:t>
      </w:r>
      <w:bookmarkStart w:id="5" w:name="_Toc16332"/>
      <w:bookmarkStart w:id="6" w:name="_Toc27541"/>
      <w:r>
        <w:rPr>
          <w:rFonts w:hint="eastAsia" w:ascii="黑体" w:hAnsi="黑体" w:eastAsia="黑体" w:cs="黑体"/>
          <w:i w:val="0"/>
          <w:iCs w:val="0"/>
          <w:caps w:val="0"/>
          <w:color w:val="000000"/>
          <w:spacing w:val="0"/>
          <w:kern w:val="0"/>
          <w:sz w:val="32"/>
          <w:szCs w:val="32"/>
          <w:shd w:val="clear" w:fill="FFFFFF"/>
          <w:lang w:val="en-US" w:eastAsia="zh-CN" w:bidi="ar"/>
        </w:rPr>
        <w:t>四、绩效评价指标分析</w:t>
      </w:r>
      <w:bookmarkEnd w:id="5"/>
      <w:bookmarkEnd w:id="6"/>
      <w:bookmarkStart w:id="7" w:name="_Toc17679"/>
    </w:p>
    <w:p w14:paraId="641E3280">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(一)项目决策情况</w:t>
      </w:r>
      <w:bookmarkEnd w:id="7"/>
    </w:p>
    <w:p w14:paraId="2ECCDA87">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i w:val="0"/>
          <w:iCs w:val="0"/>
          <w:caps w:val="0"/>
          <w:color w:val="000000"/>
          <w:spacing w:val="0"/>
          <w:kern w:val="0"/>
          <w:sz w:val="32"/>
          <w:szCs w:val="32"/>
          <w:shd w:val="clear" w:fill="FFFFFF"/>
          <w:lang w:val="en-US" w:eastAsia="zh-CN" w:bidi="ar"/>
        </w:rPr>
        <w:t>根据县政府会议纪要制定年初预算</w:t>
      </w:r>
      <w:bookmarkStart w:id="8" w:name="_Toc28411"/>
      <w:r>
        <w:rPr>
          <w:rFonts w:hint="eastAsia" w:ascii="仿宋_GB2312" w:eastAsia="仿宋_GB2312" w:cs="仿宋_GB2312"/>
          <w:i w:val="0"/>
          <w:iCs w:val="0"/>
          <w:caps w:val="0"/>
          <w:color w:val="000000"/>
          <w:spacing w:val="0"/>
          <w:kern w:val="0"/>
          <w:sz w:val="32"/>
          <w:szCs w:val="32"/>
          <w:shd w:val="clear" w:fill="FFFFFF"/>
          <w:lang w:val="en-US" w:eastAsia="zh-CN" w:bidi="ar"/>
        </w:rPr>
        <w:t>。</w:t>
      </w:r>
    </w:p>
    <w:p w14:paraId="76E1973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(二)项目过程情况</w:t>
      </w:r>
      <w:bookmarkEnd w:id="8"/>
      <w:bookmarkStart w:id="9" w:name="_Toc10140"/>
    </w:p>
    <w:p w14:paraId="289A46FA">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1.资金管理</w:t>
      </w:r>
      <w:bookmarkEnd w:id="9"/>
    </w:p>
    <w:p w14:paraId="64458F1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仿宋" w:hAnsi="仿宋" w:eastAsia="仿宋" w:cs="仿宋"/>
          <w:sz w:val="32"/>
          <w:szCs w:val="32"/>
        </w:rPr>
        <w:t>1）项目成本（预算）控制情况</w:t>
      </w:r>
      <w:r>
        <w:rPr>
          <w:rFonts w:hint="eastAsia" w:ascii="仿宋" w:hAnsi="仿宋" w:eastAsia="仿宋" w:cs="仿宋"/>
          <w:sz w:val="32"/>
          <w:szCs w:val="32"/>
          <w:lang w:eastAsia="zh-CN"/>
        </w:rPr>
        <w:t>：</w:t>
      </w:r>
      <w:r>
        <w:rPr>
          <w:rFonts w:hint="eastAsia" w:ascii="仿宋" w:hAnsi="仿宋" w:eastAsia="仿宋" w:cs="仿宋"/>
          <w:sz w:val="32"/>
          <w:szCs w:val="32"/>
        </w:rPr>
        <w:t>项目成本（预算）</w:t>
      </w:r>
      <w:r>
        <w:rPr>
          <w:rFonts w:hint="eastAsia" w:ascii="仿宋" w:hAnsi="仿宋" w:eastAsia="仿宋" w:cs="仿宋"/>
          <w:sz w:val="32"/>
          <w:szCs w:val="32"/>
          <w:lang w:val="en-US" w:eastAsia="zh-CN"/>
        </w:rPr>
        <w:t>控制在财评控制范围内</w:t>
      </w:r>
      <w:r>
        <w:rPr>
          <w:rFonts w:hint="eastAsia" w:ascii="仿宋" w:hAnsi="仿宋" w:eastAsia="仿宋" w:cs="仿宋"/>
          <w:sz w:val="32"/>
          <w:szCs w:val="32"/>
        </w:rPr>
        <w:t>（2）项目成本（预算）节约情况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按照合同金额支付工程款。</w:t>
      </w:r>
      <w:bookmarkStart w:id="10" w:name="_Toc12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2.项目实施</w:t>
      </w:r>
      <w:bookmarkEnd w:id="10"/>
      <w:r>
        <w:rPr>
          <w:rFonts w:hint="eastAsia" w:ascii="仿宋" w:hAnsi="仿宋" w:eastAsia="仿宋" w:cs="仿宋"/>
          <w:sz w:val="32"/>
          <w:szCs w:val="32"/>
          <w:lang w:eastAsia="zh-CN"/>
        </w:rPr>
        <w:t>（</w:t>
      </w:r>
      <w:r>
        <w:rPr>
          <w:rFonts w:hint="eastAsia" w:ascii="仿宋" w:hAnsi="仿宋" w:eastAsia="仿宋" w:cs="仿宋"/>
          <w:sz w:val="32"/>
          <w:szCs w:val="32"/>
        </w:rPr>
        <w:t>1）项目的实施进度</w:t>
      </w:r>
      <w:r>
        <w:rPr>
          <w:rFonts w:hint="eastAsia" w:ascii="仿宋" w:hAnsi="仿宋" w:eastAsia="仿宋" w:cs="仿宋"/>
          <w:sz w:val="32"/>
          <w:szCs w:val="32"/>
          <w:lang w:val="en-US" w:eastAsia="zh-CN"/>
        </w:rPr>
        <w:t>:旅游宣传活动经费已完成。</w:t>
      </w:r>
      <w:r>
        <w:rPr>
          <w:rFonts w:hint="eastAsia" w:ascii="仿宋" w:hAnsi="仿宋" w:eastAsia="仿宋" w:cs="仿宋"/>
          <w:sz w:val="32"/>
          <w:szCs w:val="32"/>
        </w:rPr>
        <w:t>（2）项目完成质量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该项目已支付完成。</w:t>
      </w:r>
      <w:bookmarkStart w:id="11" w:name="_Toc6604"/>
      <w:r>
        <w:rPr>
          <w:rFonts w:hint="eastAsia" w:ascii="仿宋" w:hAnsi="仿宋" w:eastAsia="仿宋" w:cs="仿宋"/>
          <w:sz w:val="32"/>
          <w:szCs w:val="32"/>
          <w:lang w:val="en-US" w:eastAsia="zh-CN"/>
        </w:rPr>
        <w:t xml:space="preserve">   </w:t>
      </w:r>
    </w:p>
    <w:p w14:paraId="091D1837">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(三)项目产出情况</w:t>
      </w:r>
      <w:bookmarkEnd w:id="11"/>
      <w:bookmarkStart w:id="12" w:name="_Toc20742"/>
    </w:p>
    <w:p w14:paraId="67A23969">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1.产出数量</w:t>
      </w:r>
      <w:bookmarkEnd w:id="12"/>
      <w:r>
        <w:rPr>
          <w:rFonts w:hint="eastAsia" w:ascii="仿宋_GB2312" w:eastAsia="仿宋_GB2312" w:cs="仿宋_GB2312"/>
          <w:i w:val="0"/>
          <w:iCs w:val="0"/>
          <w:caps w:val="0"/>
          <w:color w:val="000000"/>
          <w:spacing w:val="0"/>
          <w:kern w:val="0"/>
          <w:sz w:val="32"/>
          <w:szCs w:val="32"/>
          <w:shd w:val="clear" w:fill="FFFFFF"/>
          <w:lang w:val="en-US" w:eastAsia="zh-CN" w:bidi="ar"/>
        </w:rPr>
        <w:t>：</w:t>
      </w:r>
      <w:bookmarkStart w:id="13" w:name="_Toc5372"/>
      <w:r>
        <w:rPr>
          <w:rFonts w:hint="eastAsia" w:ascii="仿宋_GB2312" w:eastAsia="仿宋_GB2312" w:cs="仿宋_GB2312"/>
          <w:i w:val="0"/>
          <w:iCs w:val="0"/>
          <w:caps w:val="0"/>
          <w:color w:val="000000"/>
          <w:spacing w:val="0"/>
          <w:kern w:val="0"/>
          <w:sz w:val="32"/>
          <w:szCs w:val="32"/>
          <w:shd w:val="clear" w:fill="FFFFFF"/>
          <w:lang w:val="en-US" w:eastAsia="zh-CN" w:bidi="ar"/>
        </w:rPr>
        <w:t>文旅活动宣推7次、文旅产业奖补甲级名宿企业1个。</w:t>
      </w:r>
    </w:p>
    <w:p w14:paraId="229D3FAE">
      <w:pPr>
        <w:keepNext w:val="0"/>
        <w:keepLines w:val="0"/>
        <w:pageBreakBefore w:val="0"/>
        <w:pBdr>
          <w:bottom w:val="single" w:color="FFFFFF" w:sz="4" w:space="31"/>
        </w:pBdr>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2.产出质量</w:t>
      </w:r>
      <w:bookmarkEnd w:id="13"/>
      <w:bookmarkStart w:id="14" w:name="_Toc25948"/>
      <w:r>
        <w:rPr>
          <w:rFonts w:hint="eastAsia" w:ascii="仿宋_GB2312" w:eastAsia="仿宋_GB2312" w:cs="仿宋_GB2312"/>
          <w:i w:val="0"/>
          <w:iCs w:val="0"/>
          <w:caps w:val="0"/>
          <w:color w:val="000000"/>
          <w:spacing w:val="0"/>
          <w:kern w:val="0"/>
          <w:sz w:val="32"/>
          <w:szCs w:val="32"/>
          <w:shd w:val="clear" w:fill="FFFFFF"/>
          <w:lang w:val="en-US" w:eastAsia="zh-CN" w:bidi="ar"/>
        </w:rPr>
        <w:t>；</w:t>
      </w:r>
      <w:r>
        <w:rPr>
          <w:rFonts w:hint="eastAsia" w:ascii="方正仿宋_GB2312" w:hAnsi="方正仿宋_GB2312" w:eastAsia="方正仿宋_GB2312" w:cs="方正仿宋_GB2312"/>
          <w:color w:val="auto"/>
          <w:w w:val="99"/>
          <w:sz w:val="32"/>
          <w:szCs w:val="32"/>
          <w:highlight w:val="none"/>
          <w:lang w:val="en-US" w:eastAsia="zh-CN"/>
        </w:rPr>
        <w:t>针对文化旅游产品打造和品牌形象提升工作，我局采用了多种宣传推广手段，包括网站、抖音短视频、直播、微信、微博等，在微信公众号、抖音平台运营中，我局充分把握新媒体传播的特点，紧跟时事热点、网络潮流，利用多平台沅陵文旅蓝V认证账号，通过沅陵文旅、书山文旅账号借助频繁推送、互动等方式快速地扩散宣传信息，同时加强同自媒体合作，进一步加强品牌形象提升工作。</w:t>
      </w:r>
    </w:p>
    <w:p w14:paraId="4B168EE5">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3.产出成本</w:t>
      </w:r>
      <w:bookmarkEnd w:id="14"/>
      <w:r>
        <w:rPr>
          <w:rFonts w:hint="eastAsia" w:ascii="仿宋_GB2312" w:eastAsia="仿宋_GB2312" w:cs="仿宋_GB2312"/>
          <w:i w:val="0"/>
          <w:iCs w:val="0"/>
          <w:caps w:val="0"/>
          <w:color w:val="000000"/>
          <w:spacing w:val="0"/>
          <w:kern w:val="0"/>
          <w:sz w:val="32"/>
          <w:szCs w:val="32"/>
          <w:shd w:val="clear" w:fill="FFFFFF"/>
          <w:lang w:val="en-US" w:eastAsia="zh-CN" w:bidi="ar"/>
        </w:rPr>
        <w:t>：成本控制在预算范围内</w:t>
      </w:r>
      <w:bookmarkStart w:id="15" w:name="_Toc21477"/>
      <w:r>
        <w:rPr>
          <w:rFonts w:hint="eastAsia" w:ascii="仿宋_GB2312" w:eastAsia="仿宋_GB2312" w:cs="仿宋_GB2312"/>
          <w:i w:val="0"/>
          <w:iCs w:val="0"/>
          <w:caps w:val="0"/>
          <w:color w:val="000000"/>
          <w:spacing w:val="0"/>
          <w:kern w:val="0"/>
          <w:sz w:val="32"/>
          <w:szCs w:val="32"/>
          <w:shd w:val="clear" w:fill="FFFFFF"/>
          <w:lang w:val="en-US" w:eastAsia="zh-CN" w:bidi="ar"/>
        </w:rPr>
        <w:t>。</w:t>
      </w:r>
    </w:p>
    <w:p w14:paraId="2F3EF6D1">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0" w:leftChars="0" w:firstLine="640" w:firstLineChars="200"/>
        <w:textAlignment w:val="auto"/>
        <w:rPr>
          <w:rFonts w:hint="default" w:ascii="仿宋" w:hAnsi="仿宋" w:eastAsia="仿宋" w:cs="仿宋"/>
          <w:sz w:val="32"/>
          <w:szCs w:val="32"/>
          <w:lang w:val="en-US" w:eastAsia="zh-CN"/>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4.产出时效</w:t>
      </w:r>
      <w:bookmarkEnd w:id="15"/>
      <w:r>
        <w:rPr>
          <w:rFonts w:hint="eastAsia" w:ascii="仿宋_GB2312" w:eastAsia="仿宋_GB2312" w:cs="仿宋_GB2312"/>
          <w:i w:val="0"/>
          <w:iCs w:val="0"/>
          <w:caps w:val="0"/>
          <w:color w:val="000000"/>
          <w:spacing w:val="0"/>
          <w:kern w:val="0"/>
          <w:sz w:val="32"/>
          <w:szCs w:val="32"/>
          <w:shd w:val="clear" w:fill="FFFFFF"/>
          <w:lang w:val="en-US" w:eastAsia="zh-CN" w:bidi="ar"/>
        </w:rPr>
        <w:t>：</w:t>
      </w:r>
      <w:bookmarkStart w:id="16" w:name="_Toc3072"/>
      <w:bookmarkStart w:id="17" w:name="_Toc12690"/>
      <w:r>
        <w:rPr>
          <w:rFonts w:hint="eastAsia" w:ascii="仿宋" w:hAnsi="仿宋" w:eastAsia="仿宋" w:cs="仿宋"/>
          <w:sz w:val="32"/>
          <w:szCs w:val="32"/>
          <w:lang w:val="en-US" w:eastAsia="zh-CN"/>
        </w:rPr>
        <w:t>按计划完成，2025年全部完成</w:t>
      </w:r>
    </w:p>
    <w:p w14:paraId="55954067">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1" w:firstLineChars="1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(四)项目效益情况</w:t>
      </w:r>
      <w:bookmarkEnd w:id="16"/>
      <w:bookmarkEnd w:id="17"/>
      <w:bookmarkStart w:id="18" w:name="_Toc390267055"/>
      <w:bookmarkStart w:id="19" w:name="_Toc390096931"/>
      <w:bookmarkStart w:id="20" w:name="_Toc24241"/>
      <w:bookmarkStart w:id="21" w:name="_Toc12414"/>
      <w:r>
        <w:rPr>
          <w:rFonts w:hint="eastAsia" w:ascii="黑体" w:hAnsi="黑体" w:eastAsia="黑体" w:cs="黑体"/>
          <w:i w:val="0"/>
          <w:iCs w:val="0"/>
          <w:caps w:val="0"/>
          <w:color w:val="000000"/>
          <w:spacing w:val="0"/>
          <w:kern w:val="0"/>
          <w:sz w:val="32"/>
          <w:szCs w:val="32"/>
          <w:shd w:val="clear" w:fill="FFFFFF"/>
          <w:lang w:val="en-US" w:eastAsia="zh-CN" w:bidi="ar"/>
        </w:rPr>
        <w:t>五、项目主要经验、存在的问题</w:t>
      </w:r>
      <w:bookmarkEnd w:id="18"/>
      <w:bookmarkEnd w:id="19"/>
      <w:r>
        <w:rPr>
          <w:rFonts w:hint="eastAsia" w:ascii="黑体" w:hAnsi="黑体" w:eastAsia="黑体" w:cs="黑体"/>
          <w:i w:val="0"/>
          <w:iCs w:val="0"/>
          <w:caps w:val="0"/>
          <w:color w:val="000000"/>
          <w:spacing w:val="0"/>
          <w:kern w:val="0"/>
          <w:sz w:val="32"/>
          <w:szCs w:val="32"/>
          <w:shd w:val="clear" w:fill="FFFFFF"/>
          <w:lang w:val="en-US" w:eastAsia="zh-CN" w:bidi="ar"/>
        </w:rPr>
        <w:t>及建议</w:t>
      </w:r>
      <w:bookmarkEnd w:id="20"/>
      <w:bookmarkEnd w:id="21"/>
      <w:bookmarkStart w:id="22" w:name="_Toc23434"/>
      <w:bookmarkStart w:id="23" w:name="_Toc5316"/>
    </w:p>
    <w:p w14:paraId="20B49183">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321"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1、项目主要经验</w:t>
      </w:r>
      <w:bookmarkEnd w:id="22"/>
      <w:r>
        <w:rPr>
          <w:rFonts w:hint="eastAsia" w:ascii="楷体" w:hAnsi="楷体" w:eastAsia="楷体" w:cs="楷体"/>
          <w:b/>
          <w:bCs/>
          <w:i w:val="0"/>
          <w:iCs w:val="0"/>
          <w:caps w:val="0"/>
          <w:color w:val="000000"/>
          <w:spacing w:val="0"/>
          <w:kern w:val="0"/>
          <w:sz w:val="32"/>
          <w:szCs w:val="32"/>
          <w:shd w:val="clear" w:fill="FFFFFF"/>
          <w:lang w:val="en-US" w:eastAsia="zh-CN" w:bidi="ar"/>
        </w:rPr>
        <w:t>及做法</w:t>
      </w:r>
      <w:bookmarkEnd w:id="23"/>
    </w:p>
    <w:p w14:paraId="51F5A2EF">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0"/>
          <w:szCs w:val="30"/>
          <w:lang w:val="en-US" w:eastAsia="zh-CN"/>
        </w:rPr>
      </w:pPr>
      <w:bookmarkStart w:id="24" w:name="_Toc6772"/>
      <w:bookmarkStart w:id="25" w:name="_Toc2597"/>
      <w:r>
        <w:rPr>
          <w:rFonts w:hint="eastAsia" w:ascii="仿宋" w:hAnsi="仿宋" w:eastAsia="仿宋" w:cs="仿宋"/>
          <w:b w:val="0"/>
          <w:bCs w:val="0"/>
          <w:i w:val="0"/>
          <w:iCs w:val="0"/>
          <w:caps w:val="0"/>
          <w:color w:val="000000"/>
          <w:spacing w:val="0"/>
          <w:kern w:val="0"/>
          <w:sz w:val="32"/>
          <w:szCs w:val="32"/>
          <w:shd w:val="clear" w:fill="FFFFFF"/>
          <w:lang w:val="en-US" w:eastAsia="zh-CN" w:bidi="ar"/>
        </w:rPr>
        <w:t>2025年，我局以绩效目标实现为导向，进一步加强制度建设，提升自评质量，预算绩效管理取得新成效。一是绩效目标编制，及时报送绩效目标。二是对专项活动开展情况绩效过程进行跟踪监控。三是健全绩效管理工作机制，明确分工，努力提高绩效管理工作水平</w:t>
      </w:r>
      <w:r>
        <w:rPr>
          <w:rFonts w:hint="eastAsia" w:ascii="仿宋" w:hAnsi="仿宋" w:eastAsia="仿宋" w:cs="仿宋"/>
          <w:b w:val="0"/>
          <w:bCs w:val="0"/>
          <w:i w:val="0"/>
          <w:iCs w:val="0"/>
          <w:caps w:val="0"/>
          <w:color w:val="000000"/>
          <w:spacing w:val="0"/>
          <w:kern w:val="0"/>
          <w:sz w:val="28"/>
          <w:szCs w:val="28"/>
          <w:shd w:val="clear" w:fill="FFFFFF"/>
          <w:lang w:val="en-US" w:eastAsia="zh-CN" w:bidi="ar"/>
        </w:rPr>
        <w:t>。</w:t>
      </w:r>
    </w:p>
    <w:p w14:paraId="029C9A11">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存在的问题</w:t>
      </w:r>
      <w:bookmarkEnd w:id="24"/>
      <w:bookmarkEnd w:id="25"/>
      <w:bookmarkStart w:id="26" w:name="_Toc16271"/>
      <w:bookmarkStart w:id="27" w:name="_Toc29278"/>
    </w:p>
    <w:p w14:paraId="23134CAD">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无</w:t>
      </w:r>
    </w:p>
    <w:p w14:paraId="15F61336">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有关建议</w:t>
      </w:r>
      <w:bookmarkEnd w:id="26"/>
      <w:bookmarkEnd w:id="27"/>
    </w:p>
    <w:p w14:paraId="21F5A1E0">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无</w:t>
      </w:r>
    </w:p>
    <w:p w14:paraId="7DEA4D14">
      <w:pPr>
        <w:keepNext w:val="0"/>
        <w:keepLines w:val="0"/>
        <w:pageBreakBefore w:val="0"/>
        <w:widowControl w:val="0"/>
        <w:numPr>
          <w:numId w:val="0"/>
        </w:numPr>
        <w:pBdr>
          <w:bottom w:val="single" w:color="FFFFFF" w:sz="4" w:space="31"/>
        </w:pBdr>
        <w:kinsoku/>
        <w:wordWrap/>
        <w:overflowPunct/>
        <w:topLinePunct w:val="0"/>
        <w:autoSpaceDE/>
        <w:autoSpaceDN/>
        <w:bidi w:val="0"/>
        <w:adjustRightInd/>
        <w:snapToGrid/>
        <w:spacing w:line="560" w:lineRule="exact"/>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bookmarkStart w:id="28" w:name="_GoBack"/>
      <w:bookmarkEnd w:id="28"/>
    </w:p>
    <w:p w14:paraId="639BD6E9"/>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0BDA5B-D010-41FE-B0C1-2A3AB14D1D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858EF90-9504-477C-99FE-ABD31E23BA5F}"/>
  </w:font>
  <w:font w:name="方正小标宋_GBK">
    <w:panose1 w:val="02000000000000000000"/>
    <w:charset w:val="86"/>
    <w:family w:val="auto"/>
    <w:pitch w:val="default"/>
    <w:sig w:usb0="A00002BF" w:usb1="38CF7CFA" w:usb2="00082016" w:usb3="00000000" w:csb0="00040001" w:csb1="00000000"/>
    <w:embedRegular r:id="rId3" w:fontKey="{5B2DEA06-E8A7-445C-B752-6F517EB02A75}"/>
  </w:font>
  <w:font w:name="楷体">
    <w:panose1 w:val="02010609060101010101"/>
    <w:charset w:val="86"/>
    <w:family w:val="auto"/>
    <w:pitch w:val="default"/>
    <w:sig w:usb0="800002BF" w:usb1="38CF7CFA" w:usb2="00000016" w:usb3="00000000" w:csb0="00040001" w:csb1="00000000"/>
    <w:embedRegular r:id="rId4" w:fontKey="{83EAF3EE-61B6-4865-A30F-D67F3C033CD5}"/>
  </w:font>
  <w:font w:name="仿宋_GB2312">
    <w:panose1 w:val="02010609030101010101"/>
    <w:charset w:val="86"/>
    <w:family w:val="auto"/>
    <w:pitch w:val="default"/>
    <w:sig w:usb0="00000001" w:usb1="080E0000" w:usb2="00000000" w:usb3="00000000" w:csb0="00040000" w:csb1="00000000"/>
    <w:embedRegular r:id="rId5" w:fontKey="{A4E7DEA2-7B0E-4ACF-B06F-5696FC5BDEDE}"/>
  </w:font>
  <w:font w:name="仿宋">
    <w:panose1 w:val="02010609060101010101"/>
    <w:charset w:val="86"/>
    <w:family w:val="auto"/>
    <w:pitch w:val="default"/>
    <w:sig w:usb0="800002BF" w:usb1="38CF7CFA" w:usb2="00000016" w:usb3="00000000" w:csb0="00040001" w:csb1="00000000"/>
    <w:embedRegular r:id="rId6" w:fontKey="{9C74E8FE-2175-4B26-BCFD-E329DA8B66AD}"/>
  </w:font>
  <w:font w:name="方正仿宋_GB2312">
    <w:altName w:val="仿宋"/>
    <w:panose1 w:val="02000000000000000000"/>
    <w:charset w:val="86"/>
    <w:family w:val="auto"/>
    <w:pitch w:val="default"/>
    <w:sig w:usb0="00000000" w:usb1="00000000" w:usb2="00000012" w:usb3="00000000" w:csb0="00040001" w:csb1="00000000"/>
    <w:embedRegular r:id="rId7" w:fontKey="{621DA72F-1112-4C83-90F0-579020E8A079}"/>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657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6D2F5"/>
    <w:multiLevelType w:val="singleLevel"/>
    <w:tmpl w:val="4C66D2F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5F07"/>
    <w:rsid w:val="0A1C3564"/>
    <w:rsid w:val="0CA77552"/>
    <w:rsid w:val="0CB332F9"/>
    <w:rsid w:val="1554707C"/>
    <w:rsid w:val="175B6BE2"/>
    <w:rsid w:val="1CB41FB8"/>
    <w:rsid w:val="1FAD7985"/>
    <w:rsid w:val="24DC6072"/>
    <w:rsid w:val="25665261"/>
    <w:rsid w:val="28342AAA"/>
    <w:rsid w:val="29D06DA5"/>
    <w:rsid w:val="2AF94679"/>
    <w:rsid w:val="2B9E191F"/>
    <w:rsid w:val="2FFE78CA"/>
    <w:rsid w:val="34B15F37"/>
    <w:rsid w:val="35C36441"/>
    <w:rsid w:val="379F0A81"/>
    <w:rsid w:val="3B651900"/>
    <w:rsid w:val="3C26613B"/>
    <w:rsid w:val="3F8D5553"/>
    <w:rsid w:val="41F33743"/>
    <w:rsid w:val="422269D4"/>
    <w:rsid w:val="42E94F55"/>
    <w:rsid w:val="47210E42"/>
    <w:rsid w:val="4829258C"/>
    <w:rsid w:val="490A64E9"/>
    <w:rsid w:val="511D2E51"/>
    <w:rsid w:val="57861E7D"/>
    <w:rsid w:val="58111B8A"/>
    <w:rsid w:val="58743E2D"/>
    <w:rsid w:val="5D762C66"/>
    <w:rsid w:val="5DC241D1"/>
    <w:rsid w:val="62700E0F"/>
    <w:rsid w:val="65876813"/>
    <w:rsid w:val="68AC24A4"/>
    <w:rsid w:val="68CA23F8"/>
    <w:rsid w:val="6A017EF7"/>
    <w:rsid w:val="6A500ED4"/>
    <w:rsid w:val="6BB86800"/>
    <w:rsid w:val="6C340216"/>
    <w:rsid w:val="6C456F8B"/>
    <w:rsid w:val="6F5B773E"/>
    <w:rsid w:val="765D1540"/>
    <w:rsid w:val="78FC7285"/>
    <w:rsid w:val="7E836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spacing w:beforeLines="0" w:afterLines="0"/>
      <w:ind w:firstLine="640" w:firstLineChars="200"/>
    </w:pPr>
    <w:rPr>
      <w:rFonts w:hint="default"/>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2"/>
    <w:unhideWhenUsed/>
    <w:qFormat/>
    <w:uiPriority w:val="99"/>
    <w:pPr>
      <w:spacing w:beforeLines="0" w:afterLines="0"/>
      <w:ind w:firstLine="420"/>
    </w:pPr>
    <w:rPr>
      <w:rFonts w:hint="default"/>
      <w:sz w:val="32"/>
    </w:rPr>
  </w:style>
  <w:style w:type="paragraph" w:customStyle="1" w:styleId="8">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2011</Words>
  <Characters>2083</Characters>
  <Lines>0</Lines>
  <Paragraphs>0</Paragraphs>
  <TotalTime>0</TotalTime>
  <ScaleCrop>false</ScaleCrop>
  <LinksUpToDate>false</LinksUpToDate>
  <CharactersWithSpaces>2089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2025-02-17T08:53:00Z</dcterms:created>
  <dc:creator>Administrator</dc:creator>
  <cp:lastModifiedBy>浅水浮香</cp:lastModifiedBy>
  <dcterms:modified xsi:type="dcterms:W3CDTF">2026-09-18T01:38:47Z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eyJoZGlkIjoiYzAxN2I4ODU2MDNjNzQ1N2M3NzRhMmY1ODY3MGE4M2MiLCJ1c2VySWQiOiI0MjE4NzQ4MjgifQ==</vt:lpwstr>
  </property>
  <property fmtid="{D5CDD505-2E9C-101B-9397-08002B2CF9AE}" pid="4" name="ICV">
    <vt:lpwstr>727097A6A05647B9A2AC6A0A56E6A72C_12</vt:lpwstr>
  </property>
</Properties>
</file>