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4B2EB8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80" w:lineRule="atLeast"/>
        <w:ind w:left="0" w:right="0" w:firstLine="0"/>
        <w:jc w:val="center"/>
        <w:rPr>
          <w:rFonts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sz w:val="44"/>
          <w:szCs w:val="44"/>
          <w:shd w:val="clear" w:fill="FFFFFF"/>
          <w:lang w:val="en-US" w:eastAsia="zh-CN"/>
        </w:rPr>
        <w:t>文物普查</w:t>
      </w:r>
      <w:r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sz w:val="44"/>
          <w:szCs w:val="44"/>
          <w:shd w:val="clear" w:fill="FFFFFF"/>
        </w:rPr>
        <w:t>项目支出绩效自评报告</w:t>
      </w:r>
    </w:p>
    <w:p w14:paraId="1F1BAB74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80" w:lineRule="atLeast"/>
        <w:ind w:left="0" w:right="0" w:firstLine="0"/>
        <w:jc w:val="center"/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sz w:val="24"/>
          <w:szCs w:val="24"/>
        </w:rPr>
      </w:pPr>
    </w:p>
    <w:p w14:paraId="6AFF0676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left="0" w:right="0" w:firstLine="640" w:firstLineChars="200"/>
        <w:jc w:val="both"/>
        <w:textAlignment w:val="auto"/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 </w:t>
      </w:r>
      <w:r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一、项目基本情况</w:t>
      </w:r>
    </w:p>
    <w:p w14:paraId="479EC3AF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right="0" w:firstLine="643" w:firstLineChars="200"/>
        <w:jc w:val="both"/>
        <w:textAlignment w:val="auto"/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</w:pPr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（一）项目概况</w:t>
      </w:r>
    </w:p>
    <w:p w14:paraId="4A6015DA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right="0" w:firstLine="640" w:firstLineChars="200"/>
        <w:jc w:val="both"/>
        <w:textAlignment w:val="auto"/>
        <w:rPr>
          <w:rFonts w:hint="eastAsia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1.项目决策背景</w:t>
      </w:r>
      <w:r>
        <w:rPr>
          <w:rFonts w:hint="eastAsia" w:asci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：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按照省文物局关于第四次全国文物普查工作会议要求，进一步摸清沅陵文物家底，确认保护价值，更好地传承和保护。</w:t>
      </w:r>
    </w:p>
    <w:p w14:paraId="2C8F5695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right="0" w:firstLine="640" w:firstLineChars="200"/>
        <w:jc w:val="both"/>
        <w:textAlignment w:val="auto"/>
        <w:rPr>
          <w:rFonts w:hint="eastAsia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2.项目主要内容</w:t>
      </w:r>
      <w:r>
        <w:rPr>
          <w:rFonts w:hint="eastAsia" w:asci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：全国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第四次文物普查项目。</w:t>
      </w:r>
    </w:p>
    <w:p w14:paraId="2DACBB4F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right="0" w:firstLine="640" w:firstLineChars="200"/>
        <w:jc w:val="both"/>
        <w:textAlignment w:val="auto"/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3.项目组织管理机构</w:t>
      </w:r>
      <w:r>
        <w:rPr>
          <w:rFonts w:hint="eastAsia" w:asci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：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沅陵县文旅广体局</w:t>
      </w:r>
    </w:p>
    <w:p w14:paraId="7FD3FFF9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right="0" w:firstLine="643" w:firstLineChars="200"/>
        <w:jc w:val="both"/>
        <w:textAlignment w:val="auto"/>
        <w:rPr>
          <w:rFonts w:hint="default" w:ascii="楷体" w:hAnsi="楷体" w:eastAsia="楷体" w:cs="楷体"/>
          <w:b/>
          <w:bCs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</w:pPr>
      <w:r>
        <w:rPr>
          <w:rFonts w:hint="default" w:ascii="楷体" w:hAnsi="楷体" w:eastAsia="楷体" w:cs="楷体"/>
          <w:b/>
          <w:bCs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（二）预算资金使用管理情况</w:t>
      </w:r>
    </w:p>
    <w:p w14:paraId="657DE2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outlineLvl w:val="1"/>
        <w:rPr>
          <w:rFonts w:hint="eastAsia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bookmarkStart w:id="0" w:name="_Toc10810"/>
      <w:r>
        <w:rPr>
          <w:rFonts w:hint="eastAsia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1.预算资金安排及管理情况</w:t>
      </w:r>
      <w:bookmarkEnd w:id="0"/>
    </w:p>
    <w:p w14:paraId="3E181D69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right="0" w:firstLine="640" w:firstLineChars="200"/>
        <w:jc w:val="both"/>
        <w:textAlignment w:val="auto"/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（1）资金来源及拨付流程</w:t>
      </w:r>
    </w:p>
    <w:p w14:paraId="1173F821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right="0" w:firstLine="640" w:firstLineChars="200"/>
        <w:jc w:val="both"/>
        <w:textAlignment w:val="auto"/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2025年财政拨付到我局的全国第四次文物普查项目经费40万元，资金来源为财政资金，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从申请到实施严格按照财务制度要求办理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。</w:t>
      </w:r>
    </w:p>
    <w:p w14:paraId="67F65AEC"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right="0" w:rightChars="0" w:firstLine="320" w:firstLineChars="100"/>
        <w:jc w:val="both"/>
        <w:textAlignment w:val="auto"/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（2）资金到位情况</w:t>
      </w:r>
      <w:r>
        <w:rPr>
          <w:rFonts w:hint="eastAsia" w:asci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：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全国第四次文物普查项目专项资金40万元，全部为财政资金，资金到位率100%。</w:t>
      </w:r>
    </w:p>
    <w:p w14:paraId="2166D523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right="0" w:firstLine="640" w:firstLineChars="200"/>
        <w:jc w:val="both"/>
        <w:textAlignment w:val="auto"/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（2）资金使用情况</w:t>
      </w:r>
    </w:p>
    <w:p w14:paraId="5AD153AA">
      <w:pPr>
        <w:spacing w:line="580" w:lineRule="exact"/>
        <w:ind w:firstLine="640" w:firstLineChars="200"/>
        <w:rPr>
          <w:rFonts w:hint="default" w:ascii="Times New Roman" w:hAnsi="Times New Roman" w:eastAsia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/>
          <w:sz w:val="32"/>
          <w:szCs w:val="32"/>
        </w:rPr>
        <w:t>1.资金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拨付合规性</w:t>
      </w:r>
      <w:r>
        <w:rPr>
          <w:rFonts w:ascii="Times New Roman" w:hAnsi="Times New Roman" w:eastAsia="仿宋_GB2312"/>
          <w:sz w:val="32"/>
          <w:szCs w:val="32"/>
        </w:rPr>
        <w:t>：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资金拨付符合国库集中支付制度，专款专用等规定，拨付流程规范。</w:t>
      </w:r>
    </w:p>
    <w:p w14:paraId="2723C817">
      <w:pPr>
        <w:spacing w:line="580" w:lineRule="exact"/>
        <w:ind w:firstLine="640" w:firstLineChars="200"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2.使用规范性：严格按照预算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安排，专项管理</w:t>
      </w:r>
      <w:r>
        <w:rPr>
          <w:rFonts w:hint="eastAsia" w:ascii="Times New Roman" w:hAnsi="Times New Roman" w:eastAsia="仿宋_GB2312"/>
          <w:sz w:val="32"/>
          <w:szCs w:val="32"/>
        </w:rPr>
        <w:t>，不存在截留、挤占、挪用或擅自调整等问题；</w:t>
      </w:r>
    </w:p>
    <w:p w14:paraId="2A4E1F65"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leftChars="200" w:right="0" w:rightChars="0"/>
        <w:jc w:val="both"/>
        <w:textAlignment w:val="auto"/>
        <w:rPr>
          <w:rFonts w:hint="default" w:asci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Times New Roman" w:hAnsi="Times New Roman" w:eastAsia="仿宋_GB2312"/>
          <w:sz w:val="32"/>
          <w:szCs w:val="32"/>
        </w:rPr>
        <w:t>3.执行准确性：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全国第四次文物普查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专项资金</w:t>
      </w:r>
      <w:r>
        <w:rPr>
          <w:rFonts w:hint="eastAsia" w:ascii="Times New Roman" w:hAnsi="Times New Roman" w:eastAsia="仿宋_GB2312"/>
          <w:sz w:val="32"/>
          <w:szCs w:val="32"/>
        </w:rPr>
        <w:t>执行率100%</w:t>
      </w:r>
      <w:r>
        <w:rPr>
          <w:rFonts w:hint="eastAsia" w:ascii="Times New Roman" w:hAnsi="Times New Roman" w:eastAsia="仿宋_GB2312"/>
          <w:sz w:val="32"/>
          <w:szCs w:val="32"/>
          <w:lang w:eastAsia="zh-CN"/>
        </w:rPr>
        <w:t>。</w:t>
      </w:r>
    </w:p>
    <w:p w14:paraId="1E96C15E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right="0" w:firstLine="640" w:firstLineChars="200"/>
        <w:jc w:val="both"/>
        <w:textAlignment w:val="auto"/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</w:p>
    <w:p w14:paraId="2E0668C0"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left="0" w:leftChars="0" w:right="0" w:rightChars="0" w:firstLine="640" w:firstLineChars="200"/>
        <w:jc w:val="both"/>
        <w:textAlignment w:val="auto"/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（3）资金管理制度及执行情况</w:t>
      </w:r>
    </w:p>
    <w:p w14:paraId="4C631D3E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right="0" w:firstLine="640" w:firstLineChars="200"/>
        <w:jc w:val="both"/>
        <w:textAlignment w:val="auto"/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根据专项资金实际使用情况，对专项资金开展绩效自评，在资金使用上，我局严格执行专项资金管理制度，实行专款专用，无挪用专项资金问题。全国第四次文物普查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专项资金40万元，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截止202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年12月底，项目资金已使用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40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万元，执行率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100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%。</w:t>
      </w:r>
    </w:p>
    <w:p w14:paraId="56697544"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left="0" w:leftChars="0" w:right="0" w:rightChars="0" w:firstLine="640" w:firstLineChars="200"/>
        <w:jc w:val="both"/>
        <w:textAlignment w:val="auto"/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2.项目组织实施管理情况</w:t>
      </w:r>
    </w:p>
    <w:p w14:paraId="39752AD4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right="0" w:firstLine="640" w:firstLineChars="200"/>
        <w:jc w:val="both"/>
        <w:textAlignment w:val="auto"/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项目实施前制定资金管理制定，有明确的资金分配及流程，在施工中，项目管理人员随时到实地查看工程进度、检查施工质量和安全隐患等，项目完工及时组织验收、验收合格且资料齐全后支付项目资金。</w:t>
      </w:r>
    </w:p>
    <w:p w14:paraId="5A9E8C32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right="0" w:firstLine="643" w:firstLineChars="200"/>
        <w:jc w:val="both"/>
        <w:textAlignment w:val="auto"/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</w:pPr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（三）预算绩效目标情况</w:t>
      </w:r>
    </w:p>
    <w:p w14:paraId="67089CD4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right="0" w:firstLine="640" w:firstLineChars="200"/>
        <w:jc w:val="both"/>
        <w:textAlignment w:val="auto"/>
        <w:rPr>
          <w:rFonts w:hint="eastAsia" w:asci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1.绩效目标</w:t>
      </w:r>
      <w:r>
        <w:rPr>
          <w:rFonts w:hint="eastAsia" w:asci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：完成全县文物普查服务项目，摸清文物家底，使文物得到保护和传承。</w:t>
      </w:r>
    </w:p>
    <w:p w14:paraId="167DD988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right="0" w:firstLine="640" w:firstLineChars="200"/>
        <w:jc w:val="both"/>
        <w:textAlignment w:val="auto"/>
        <w:rPr>
          <w:rFonts w:hint="eastAsia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2.绩效指标</w:t>
      </w:r>
      <w:r>
        <w:rPr>
          <w:rFonts w:hint="eastAsia" w:asci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：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（一）成本指标：①经济成本指标，文物普查项目经费40万元，②社会成本指标：社会成本节约率0，③生态环境成本指标：生态环境成本节约率0。（二）产出指标：①数量指标：全县范围内23个乡镇。②质量指标 项目绩效目标达成率100%，③时效指标：完成及时性2025年12月31日之前。（三）效益指标：①经济效益指标 提高专项资金使用效益。②社会效益指标： 提高群众对保护文化遗产的认识。③生态效益指标：改善文化宣传环境。④可持续影响指标：提高群众对保护文化遗产的认识，文物保护意识持续提高。（四）满意度指标：服务对象满意率90以上。</w:t>
      </w:r>
    </w:p>
    <w:p w14:paraId="3280C780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Lines="0" w:afterLines="0" w:line="520" w:lineRule="exact"/>
        <w:ind w:left="0" w:leftChars="0"/>
        <w:textAlignment w:val="auto"/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二、绩效评价工作情况</w:t>
      </w:r>
    </w:p>
    <w:p w14:paraId="2D671E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left="0" w:leftChars="0" w:firstLine="643" w:firstLineChars="200"/>
        <w:textAlignment w:val="auto"/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（一）绩效评价目的</w:t>
      </w:r>
    </w:p>
    <w:p w14:paraId="6FABCC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left="0" w:leftChars="0" w:firstLine="640" w:firstLineChars="200"/>
        <w:textAlignment w:val="auto"/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了解2025年度单位整体支出情况、年度工作任务及项目完成情况，年度履职情况，以及所取得的效果。通过评价，在部门预算配置、预算执行等方面总结经验，找准存在的问题，为进一步加强和规范部门资金支出，提升预算配置的合理性；优化财政支出结构提供决策参考和依据，为下一步专项支出绩效评价的逐步推行进行经验性积累奠定基础。</w:t>
      </w:r>
    </w:p>
    <w:p w14:paraId="5FCE28E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left="0" w:leftChars="0" w:firstLine="643" w:firstLineChars="200"/>
        <w:textAlignment w:val="auto"/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bookmarkStart w:id="1" w:name="_Toc11844"/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（二）被评价单位、绩效评价范围与时段</w:t>
      </w:r>
      <w:bookmarkEnd w:id="1"/>
    </w:p>
    <w:p w14:paraId="4ACC49C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320" w:firstLineChars="100"/>
        <w:textAlignment w:val="auto"/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专项绩效评价单位是本单位，评价范围是对2025年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沅陵县全国第四次文物普查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项目工作开展情况进行评价。</w:t>
      </w:r>
    </w:p>
    <w:p w14:paraId="1556BC8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left="0" w:leftChars="0" w:firstLine="643" w:firstLineChars="200"/>
        <w:textAlignment w:val="auto"/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bookmarkStart w:id="2" w:name="_Toc31835"/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（三）绩效评价原则、评价指标体系、评价方法</w:t>
      </w:r>
      <w:bookmarkEnd w:id="2"/>
    </w:p>
    <w:p w14:paraId="12C8BE4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按照专项绩效管理有关规定，遵循客观、实事求是、公正、公开的原则，对项目决策、准备、实施等进行自我评价。</w:t>
      </w:r>
    </w:p>
    <w:p w14:paraId="08DA59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outlineLvl w:val="0"/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bookmarkStart w:id="3" w:name="_Toc7615"/>
      <w:bookmarkStart w:id="4" w:name="_Toc32076"/>
      <w:r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三、主要绩效及评价结论</w:t>
      </w:r>
      <w:bookmarkEnd w:id="3"/>
      <w:bookmarkEnd w:id="4"/>
    </w:p>
    <w:p w14:paraId="3B45BA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left="0" w:leftChars="0" w:firstLine="643" w:firstLineChars="200"/>
        <w:textAlignment w:val="auto"/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（一）社会效益：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提高群众对保护文化遗产的认识，文物本体得到保护与传承。</w:t>
      </w:r>
    </w:p>
    <w:p w14:paraId="1165D3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left="0" w:leftChars="0" w:firstLine="643" w:firstLineChars="200"/>
        <w:textAlignment w:val="auto"/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（二）生态效益：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改善文化宣传环境。</w:t>
      </w:r>
    </w:p>
    <w:p w14:paraId="7F6E67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left="0" w:leftChars="0" w:firstLine="643" w:firstLineChars="200"/>
        <w:textAlignment w:val="auto"/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（三）可持续影响：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提高群众对保护文化遗产的认识，文物保护意识持续提高。</w:t>
      </w:r>
    </w:p>
    <w:p w14:paraId="163D46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left="0" w:leftChars="0" w:firstLine="643" w:firstLineChars="200"/>
        <w:textAlignment w:val="auto"/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（四）满意度情况：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群众满意度达90%以上。</w:t>
      </w:r>
    </w:p>
    <w:p w14:paraId="4A936C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left="0" w:leftChars="0" w:firstLine="643" w:firstLineChars="200"/>
        <w:textAlignment w:val="auto"/>
        <w:rPr>
          <w:rFonts w:hint="default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（五）评价结论: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2025年单位文物普查工作任务已完成，目标责任履职情况良好,专项绩效自评综合得分为100分。</w:t>
      </w:r>
    </w:p>
    <w:p w14:paraId="08651B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outlineLvl w:val="0"/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bookmarkStart w:id="5" w:name="_Toc16332"/>
      <w:bookmarkStart w:id="6" w:name="_Toc27541"/>
      <w:r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四、绩效评价指标分析</w:t>
      </w:r>
      <w:bookmarkEnd w:id="5"/>
      <w:bookmarkEnd w:id="6"/>
    </w:p>
    <w:p w14:paraId="6304C3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left="0" w:leftChars="0" w:firstLine="643" w:firstLineChars="200"/>
        <w:textAlignment w:val="auto"/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bookmarkStart w:id="7" w:name="_Toc17679"/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(一)项目决策情况</w:t>
      </w:r>
      <w:bookmarkEnd w:id="7"/>
    </w:p>
    <w:p w14:paraId="04E45B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left="0" w:leftChars="0" w:firstLine="643" w:firstLineChars="200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 xml:space="preserve"> 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1、前期准备：准备自评资料并保证完整性、及时性、真实性、佐证材料的准备、材料质量等要求。</w:t>
      </w:r>
    </w:p>
    <w:p w14:paraId="0525CD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left="0" w:leftChars="0" w:firstLine="640" w:firstLineChars="200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2、组织实施：包括布置、审核、检查等情况存在的问题及有关意见及建议。</w:t>
      </w:r>
    </w:p>
    <w:p w14:paraId="3D9115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left="0" w:leftChars="0" w:firstLine="640" w:firstLineChars="200"/>
        <w:textAlignment w:val="auto"/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3、分析评价：按照项目绩效管理有关规定，遵循客观、实事求是、公正、公开的原则，对项目决策、准备、实施等进行了自我评价。</w:t>
      </w:r>
    </w:p>
    <w:p w14:paraId="0878E7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left="0" w:leftChars="0" w:firstLine="643" w:firstLineChars="200"/>
        <w:textAlignment w:val="auto"/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bookmarkStart w:id="8" w:name="_Toc28411"/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(二)项目过程情况</w:t>
      </w:r>
      <w:bookmarkEnd w:id="8"/>
    </w:p>
    <w:p w14:paraId="785050DB">
      <w:pPr>
        <w:ind w:firstLine="640" w:firstLineChars="200"/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bookmarkStart w:id="9" w:name="_Toc10140"/>
      <w:r>
        <w:rPr>
          <w:rFonts w:hint="eastAsia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1.资金管理</w:t>
      </w:r>
      <w:bookmarkEnd w:id="9"/>
      <w:r>
        <w:rPr>
          <w:rFonts w:hint="eastAsia" w:asci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:</w:t>
      </w:r>
      <w:r>
        <w:rPr>
          <w:rFonts w:hint="eastAsia" w:ascii="仿宋" w:hAnsi="仿宋" w:eastAsia="仿宋" w:cs="仿宋"/>
          <w:bCs/>
          <w:sz w:val="32"/>
          <w:szCs w:val="32"/>
        </w:rPr>
        <w:t>凡拨付到我单位的专项资金，我们均做到专款专用，绝不挤占不挪用，专项资金由财政拨付到</w:t>
      </w:r>
      <w:r>
        <w:rPr>
          <w:rFonts w:hint="eastAsia" w:ascii="仿宋" w:hAnsi="仿宋" w:eastAsia="仿宋" w:cs="仿宋"/>
          <w:bCs/>
          <w:sz w:val="32"/>
          <w:szCs w:val="32"/>
          <w:lang w:eastAsia="zh-CN"/>
        </w:rPr>
        <w:t>我局</w:t>
      </w:r>
      <w:r>
        <w:rPr>
          <w:rFonts w:hint="eastAsia" w:ascii="仿宋" w:hAnsi="仿宋" w:eastAsia="仿宋" w:cs="仿宋"/>
          <w:bCs/>
          <w:sz w:val="32"/>
          <w:szCs w:val="32"/>
        </w:rPr>
        <w:t>后，均按合同约定，由单位分管财务领导签字后进行支付。该项目中我们严格按照财务有关纪律和程序要求进行资金管理，达到了预期目的。</w:t>
      </w:r>
    </w:p>
    <w:p w14:paraId="1973A8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left="0" w:leftChars="0" w:firstLine="640" w:firstLineChars="200"/>
        <w:textAlignment w:val="auto"/>
        <w:outlineLvl w:val="2"/>
        <w:rPr>
          <w:rFonts w:hint="eastAsia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bookmarkStart w:id="10" w:name="_Toc1210"/>
      <w:r>
        <w:rPr>
          <w:rFonts w:hint="eastAsia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2.项目实施</w:t>
      </w:r>
      <w:bookmarkEnd w:id="10"/>
      <w:bookmarkStart w:id="11" w:name="_Toc6604"/>
    </w:p>
    <w:p w14:paraId="3B30081D">
      <w:pPr>
        <w:spacing w:line="520" w:lineRule="exact"/>
        <w:ind w:firstLine="633" w:firstLineChars="198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、项目组织情况分析</w:t>
      </w:r>
    </w:p>
    <w:p w14:paraId="2CE5574B">
      <w:pPr>
        <w:ind w:firstLine="787" w:firstLineChars="246"/>
        <w:rPr>
          <w:rFonts w:hint="eastAsia" w:ascii="仿宋" w:hAnsi="仿宋" w:eastAsia="仿宋" w:cs="仿宋"/>
          <w:bCs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该项目中我们按照</w:t>
      </w:r>
      <w:r>
        <w:rPr>
          <w:rFonts w:hint="eastAsia" w:ascii="仿宋" w:hAnsi="仿宋" w:eastAsia="仿宋" w:cs="仿宋"/>
          <w:bCs/>
          <w:sz w:val="32"/>
          <w:szCs w:val="32"/>
          <w:lang w:eastAsia="zh-CN"/>
        </w:rPr>
        <w:t>政府采购</w:t>
      </w:r>
      <w:r>
        <w:rPr>
          <w:rFonts w:hint="eastAsia" w:ascii="仿宋" w:hAnsi="仿宋" w:eastAsia="仿宋" w:cs="仿宋"/>
          <w:bCs/>
          <w:sz w:val="32"/>
          <w:szCs w:val="32"/>
        </w:rPr>
        <w:t>法律规定方式，</w:t>
      </w:r>
      <w:r>
        <w:rPr>
          <w:rFonts w:hint="eastAsia" w:ascii="仿宋" w:hAnsi="仿宋" w:eastAsia="仿宋" w:cs="仿宋"/>
          <w:bCs/>
          <w:sz w:val="32"/>
          <w:szCs w:val="32"/>
          <w:lang w:eastAsia="zh-CN"/>
        </w:rPr>
        <w:t>对</w:t>
      </w:r>
      <w:r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  <w:t>文物</w:t>
      </w:r>
      <w:r>
        <w:rPr>
          <w:rFonts w:hint="eastAsia" w:ascii="仿宋" w:hAnsi="仿宋" w:eastAsia="仿宋" w:cs="仿宋"/>
          <w:bCs/>
          <w:sz w:val="32"/>
          <w:szCs w:val="32"/>
          <w:lang w:eastAsia="zh-CN"/>
        </w:rPr>
        <w:t>保护项目中需要进行</w:t>
      </w:r>
      <w:r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  <w:t>工程</w:t>
      </w:r>
      <w:r>
        <w:rPr>
          <w:rFonts w:hint="eastAsia" w:ascii="仿宋" w:hAnsi="仿宋" w:eastAsia="仿宋" w:cs="仿宋"/>
          <w:bCs/>
          <w:sz w:val="32"/>
          <w:szCs w:val="32"/>
          <w:lang w:eastAsia="zh-CN"/>
        </w:rPr>
        <w:t>采购的项目进行采购。</w:t>
      </w:r>
    </w:p>
    <w:p w14:paraId="41E1A0CC">
      <w:pPr>
        <w:pStyle w:val="8"/>
        <w:spacing w:line="360" w:lineRule="auto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、项目管理情况分析</w:t>
      </w:r>
    </w:p>
    <w:p w14:paraId="252277C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leftChars="200"/>
        <w:textAlignment w:val="auto"/>
        <w:outlineLvl w:val="2"/>
        <w:rPr>
          <w:rFonts w:hint="eastAsia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按照专项资金项目管理制度，经常性自查，</w:t>
      </w:r>
      <w:r>
        <w:rPr>
          <w:rFonts w:hint="eastAsia" w:ascii="仿宋" w:hAnsi="仿宋" w:eastAsia="仿宋" w:cs="仿宋"/>
          <w:bCs/>
          <w:sz w:val="32"/>
          <w:szCs w:val="32"/>
          <w:lang w:eastAsia="zh-CN"/>
        </w:rPr>
        <w:t>并</w:t>
      </w:r>
      <w:r>
        <w:rPr>
          <w:rFonts w:hint="eastAsia" w:ascii="仿宋" w:hAnsi="仿宋" w:eastAsia="仿宋" w:cs="仿宋"/>
          <w:bCs/>
          <w:sz w:val="32"/>
          <w:szCs w:val="32"/>
        </w:rPr>
        <w:t>派</w:t>
      </w:r>
      <w:r>
        <w:rPr>
          <w:rFonts w:hint="eastAsia" w:ascii="仿宋" w:hAnsi="仿宋" w:eastAsia="仿宋" w:cs="仿宋"/>
          <w:bCs/>
          <w:sz w:val="32"/>
          <w:szCs w:val="32"/>
          <w:lang w:eastAsia="zh-CN"/>
        </w:rPr>
        <w:t>项目</w:t>
      </w:r>
      <w:r>
        <w:rPr>
          <w:rFonts w:hint="eastAsia" w:ascii="仿宋" w:hAnsi="仿宋" w:eastAsia="仿宋" w:cs="仿宋"/>
          <w:bCs/>
          <w:sz w:val="32"/>
          <w:szCs w:val="32"/>
        </w:rPr>
        <w:t>管理</w:t>
      </w:r>
      <w:r>
        <w:rPr>
          <w:rFonts w:hint="eastAsia" w:ascii="仿宋" w:hAnsi="仿宋" w:eastAsia="仿宋" w:cs="仿宋"/>
          <w:bCs/>
          <w:sz w:val="32"/>
          <w:szCs w:val="32"/>
          <w:lang w:eastAsia="zh-CN"/>
        </w:rPr>
        <w:t>工作</w:t>
      </w:r>
      <w:r>
        <w:rPr>
          <w:rFonts w:hint="eastAsia" w:ascii="仿宋" w:hAnsi="仿宋" w:eastAsia="仿宋" w:cs="仿宋"/>
          <w:bCs/>
          <w:sz w:val="32"/>
          <w:szCs w:val="32"/>
        </w:rPr>
        <w:t>人员进行</w:t>
      </w:r>
      <w:r>
        <w:rPr>
          <w:rFonts w:hint="eastAsia" w:ascii="仿宋" w:hAnsi="仿宋" w:eastAsia="仿宋" w:cs="仿宋"/>
          <w:bCs/>
          <w:sz w:val="32"/>
          <w:szCs w:val="32"/>
          <w:lang w:eastAsia="zh-CN"/>
        </w:rPr>
        <w:t>日常管理</w:t>
      </w:r>
      <w:r>
        <w:rPr>
          <w:rFonts w:hint="eastAsia" w:ascii="仿宋" w:hAnsi="仿宋" w:eastAsia="仿宋" w:cs="仿宋"/>
          <w:bCs/>
          <w:sz w:val="32"/>
          <w:szCs w:val="32"/>
        </w:rPr>
        <w:t>。</w:t>
      </w:r>
    </w:p>
    <w:p w14:paraId="542B0D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left="0" w:leftChars="0" w:firstLine="643" w:firstLineChars="200"/>
        <w:textAlignment w:val="auto"/>
        <w:outlineLvl w:val="2"/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(三)项目产出情况</w:t>
      </w:r>
      <w:bookmarkEnd w:id="11"/>
    </w:p>
    <w:p w14:paraId="15A408BC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Lines="0" w:afterLines="0" w:line="520" w:lineRule="exact"/>
        <w:ind w:left="0"/>
        <w:textAlignment w:val="auto"/>
        <w:outlineLvl w:val="2"/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bookmarkStart w:id="12" w:name="_Toc20742"/>
      <w:r>
        <w:rPr>
          <w:rFonts w:hint="eastAsia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1.产出数量</w:t>
      </w:r>
      <w:bookmarkEnd w:id="12"/>
      <w:r>
        <w:rPr>
          <w:rFonts w:hint="eastAsia" w:asci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:完成全县23个乡镇文物普查工作</w:t>
      </w:r>
    </w:p>
    <w:p w14:paraId="37113806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Lines="0" w:afterLines="0" w:line="520" w:lineRule="exact"/>
        <w:ind w:left="0"/>
        <w:textAlignment w:val="auto"/>
        <w:outlineLvl w:val="2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32"/>
          <w:szCs w:val="32"/>
          <w:highlight w:val="none"/>
          <w:lang w:eastAsia="zh-CN"/>
        </w:rPr>
      </w:pPr>
      <w:bookmarkStart w:id="13" w:name="_Toc5372"/>
      <w:r>
        <w:rPr>
          <w:rFonts w:hint="eastAsia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2.产出质量</w:t>
      </w:r>
      <w:bookmarkEnd w:id="13"/>
      <w:r>
        <w:rPr>
          <w:rFonts w:hint="eastAsia" w:asci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：</w:t>
      </w:r>
      <w:bookmarkStart w:id="14" w:name="_Toc25948"/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32"/>
          <w:szCs w:val="32"/>
          <w:highlight w:val="none"/>
          <w:lang w:eastAsia="zh-CN"/>
        </w:rPr>
        <w:t>全年新发现不可移动文物点119处，涵盖工业遗址、农田水利遗址、古茶园、古建筑、古文化遗址、古碑刻、摩崖石刻、近现代重要史迹及古墓葬等多个类别，从不同维度填补了区域文化遗产图谱的空白。</w:t>
      </w:r>
    </w:p>
    <w:p w14:paraId="45DF5308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Lines="0" w:afterLines="0" w:line="520" w:lineRule="exact"/>
        <w:ind w:left="0"/>
        <w:textAlignment w:val="auto"/>
        <w:outlineLvl w:val="2"/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3.产出成本</w:t>
      </w:r>
      <w:bookmarkEnd w:id="14"/>
      <w:r>
        <w:rPr>
          <w:rFonts w:hint="eastAsia" w:asci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：项目成本控制在预算范围内</w:t>
      </w:r>
    </w:p>
    <w:p w14:paraId="6559B3B8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Lines="0" w:afterLines="0" w:line="520" w:lineRule="exact"/>
        <w:ind w:left="0"/>
        <w:textAlignment w:val="auto"/>
        <w:outlineLvl w:val="2"/>
        <w:rPr>
          <w:rFonts w:hint="eastAsia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bookmarkStart w:id="15" w:name="_Toc21477"/>
      <w:r>
        <w:rPr>
          <w:rFonts w:hint="eastAsia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4.产出时效</w:t>
      </w:r>
      <w:bookmarkEnd w:id="15"/>
      <w:r>
        <w:rPr>
          <w:rFonts w:hint="eastAsia" w:asci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：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2025年度内按时完成工作目标</w:t>
      </w:r>
    </w:p>
    <w:p w14:paraId="4F6198D7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Lines="0" w:afterLines="0" w:line="520" w:lineRule="exact"/>
        <w:ind w:left="0"/>
        <w:textAlignment w:val="auto"/>
        <w:outlineLvl w:val="1"/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bookmarkStart w:id="16" w:name="_Toc12690"/>
      <w:bookmarkStart w:id="17" w:name="_Toc3072"/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(四)项目效益情况</w:t>
      </w:r>
      <w:bookmarkEnd w:id="16"/>
      <w:bookmarkEnd w:id="17"/>
    </w:p>
    <w:p w14:paraId="3C0D1C7D">
      <w:pPr>
        <w:pStyle w:val="8"/>
        <w:spacing w:line="360" w:lineRule="auto"/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（1）项目成本（预算）控制情况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：</w:t>
      </w:r>
      <w:r>
        <w:rPr>
          <w:rFonts w:hint="eastAsia" w:ascii="仿宋" w:hAnsi="仿宋" w:eastAsia="仿宋" w:cs="仿宋"/>
          <w:sz w:val="32"/>
          <w:szCs w:val="32"/>
        </w:rPr>
        <w:t>项目成本（预算）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控制在财评控制范围内。</w:t>
      </w:r>
    </w:p>
    <w:p w14:paraId="10F1FD86">
      <w:pPr>
        <w:pStyle w:val="8"/>
        <w:spacing w:line="360" w:lineRule="auto"/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（2）项目成本（预算）节约情况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按照合同金额支付工程款。</w:t>
      </w:r>
    </w:p>
    <w:p w14:paraId="1FB35210">
      <w:pPr>
        <w:pStyle w:val="8"/>
        <w:spacing w:line="360" w:lineRule="auto"/>
        <w:ind w:firstLine="643" w:firstLineChars="200"/>
        <w:rPr>
          <w:rFonts w:hint="eastAsia" w:ascii="仿宋" w:hAnsi="仿宋" w:eastAsia="仿宋" w:cs="仿宋"/>
          <w:b/>
          <w:sz w:val="32"/>
          <w:szCs w:val="32"/>
        </w:rPr>
      </w:pPr>
      <w:r>
        <w:rPr>
          <w:rFonts w:hint="eastAsia" w:ascii="仿宋" w:hAnsi="仿宋" w:eastAsia="仿宋" w:cs="仿宋"/>
          <w:b/>
          <w:sz w:val="32"/>
          <w:szCs w:val="32"/>
        </w:rPr>
        <w:t>2、项目的效率性分析</w:t>
      </w:r>
    </w:p>
    <w:p w14:paraId="429B4EC5">
      <w:pPr>
        <w:pStyle w:val="8"/>
        <w:tabs>
          <w:tab w:val="left" w:pos="1524"/>
        </w:tabs>
        <w:spacing w:line="360" w:lineRule="auto"/>
        <w:ind w:firstLine="640" w:firstLineChars="200"/>
        <w:rPr>
          <w:rFonts w:hint="eastAsia" w:ascii="仿宋" w:hAnsi="仿宋" w:eastAsia="仿宋" w:cs="仿宋"/>
          <w:b w:val="0"/>
          <w:bCs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b w:val="0"/>
          <w:bCs/>
          <w:sz w:val="32"/>
          <w:szCs w:val="32"/>
          <w:lang w:eastAsia="zh-CN"/>
        </w:rPr>
        <w:t>摸清文物家底，使文物得到保护和传承。</w:t>
      </w:r>
    </w:p>
    <w:p w14:paraId="7C07EF6B">
      <w:pPr>
        <w:pStyle w:val="8"/>
        <w:spacing w:line="360" w:lineRule="auto"/>
        <w:ind w:firstLine="643" w:firstLineChars="200"/>
        <w:rPr>
          <w:rFonts w:hint="eastAsia" w:ascii="仿宋" w:hAnsi="仿宋" w:eastAsia="仿宋" w:cs="仿宋"/>
          <w:b/>
          <w:sz w:val="32"/>
          <w:szCs w:val="32"/>
        </w:rPr>
      </w:pPr>
      <w:r>
        <w:rPr>
          <w:rFonts w:hint="eastAsia" w:ascii="仿宋" w:hAnsi="仿宋" w:eastAsia="仿宋" w:cs="仿宋"/>
          <w:b/>
          <w:sz w:val="32"/>
          <w:szCs w:val="32"/>
        </w:rPr>
        <w:t>3、项目的效益性分析</w:t>
      </w:r>
    </w:p>
    <w:p w14:paraId="276E484B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Lines="0" w:afterLines="0" w:line="520" w:lineRule="exact"/>
        <w:ind w:left="0"/>
        <w:textAlignment w:val="auto"/>
        <w:outlineLvl w:val="1"/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sz w:val="32"/>
          <w:szCs w:val="32"/>
        </w:rPr>
        <w:t>项目实施对经济和社会的影响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：</w:t>
      </w:r>
      <w:r>
        <w:rPr>
          <w:rFonts w:hint="eastAsia" w:ascii="仿宋" w:hAnsi="仿宋" w:eastAsia="仿宋" w:cs="仿宋"/>
          <w:sz w:val="32"/>
          <w:szCs w:val="32"/>
          <w:shd w:val="clear" w:color="auto" w:fill="FFFFFF"/>
        </w:rPr>
        <w:t>（1）经济效益。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增加旅游亮点，不直接产生经济效益。</w:t>
      </w:r>
      <w:r>
        <w:rPr>
          <w:rFonts w:hint="eastAsia" w:ascii="仿宋" w:hAnsi="仿宋" w:eastAsia="仿宋" w:cs="仿宋"/>
          <w:sz w:val="32"/>
          <w:szCs w:val="32"/>
          <w:shd w:val="clear" w:color="auto" w:fill="FFFFFF"/>
        </w:rPr>
        <w:t>（</w:t>
      </w:r>
      <w:r>
        <w:rPr>
          <w:rFonts w:hint="eastAsia" w:ascii="仿宋" w:hAnsi="仿宋" w:eastAsia="仿宋" w:cs="仿宋"/>
          <w:sz w:val="32"/>
          <w:szCs w:val="32"/>
          <w:shd w:val="clear" w:color="auto" w:fill="FFFFFF"/>
          <w:lang w:val="en-US" w:eastAsia="zh-CN"/>
        </w:rPr>
        <w:t>2</w:t>
      </w:r>
      <w:r>
        <w:rPr>
          <w:rFonts w:hint="eastAsia" w:ascii="仿宋" w:hAnsi="仿宋" w:eastAsia="仿宋" w:cs="仿宋"/>
          <w:sz w:val="32"/>
          <w:szCs w:val="32"/>
          <w:shd w:val="clear" w:color="auto" w:fill="FFFFFF"/>
        </w:rPr>
        <w:t>）可持续影响。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提高群众对保护文化遗产的认识，文物保护意识持续提高。</w:t>
      </w:r>
    </w:p>
    <w:p w14:paraId="24D627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outlineLvl w:val="0"/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bookmarkStart w:id="18" w:name="_Toc390267055"/>
      <w:bookmarkStart w:id="19" w:name="_Toc390096931"/>
      <w:bookmarkStart w:id="20" w:name="_Toc24241"/>
      <w:bookmarkStart w:id="21" w:name="_Toc12414"/>
      <w:r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五、项目主要经验、存在的问题</w:t>
      </w:r>
      <w:bookmarkEnd w:id="18"/>
      <w:bookmarkEnd w:id="19"/>
      <w:r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及建议</w:t>
      </w:r>
      <w:bookmarkEnd w:id="20"/>
      <w:bookmarkEnd w:id="21"/>
    </w:p>
    <w:p w14:paraId="7F7CB9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3" w:firstLineChars="200"/>
        <w:textAlignment w:val="auto"/>
        <w:outlineLvl w:val="1"/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bookmarkStart w:id="22" w:name="_Toc23434"/>
      <w:bookmarkStart w:id="23" w:name="_Toc5316"/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（一）项目主要经验</w:t>
      </w:r>
      <w:bookmarkEnd w:id="22"/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及做法</w:t>
      </w:r>
      <w:bookmarkEnd w:id="23"/>
    </w:p>
    <w:p w14:paraId="331BD8FF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bottom w:val="single" w:color="FFFFFF" w:sz="4" w:space="31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2025年，我局以绩效目标实现为导向，进一步加强制度建设，提升自评质量，预算绩效管理取得新成效。一是绩效目标编制，及时报送绩效目标。二是对专项活动开展情况绩效过程进行跟踪监控。三是健全绩效管理工作机制，明确分工，努力提高绩效管理工作水平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。</w:t>
      </w:r>
      <w:bookmarkStart w:id="24" w:name="_Toc2597"/>
      <w:bookmarkStart w:id="25" w:name="_Toc6772"/>
    </w:p>
    <w:p w14:paraId="5BD1C91D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bottom w:val="single" w:color="FFFFFF" w:sz="4" w:space="31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存在的问题</w:t>
      </w:r>
      <w:bookmarkEnd w:id="24"/>
      <w:bookmarkEnd w:id="25"/>
      <w:bookmarkStart w:id="26" w:name="_Toc16271"/>
      <w:bookmarkStart w:id="27" w:name="_Toc29278"/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 xml:space="preserve"> </w:t>
      </w:r>
    </w:p>
    <w:p w14:paraId="31105A3A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bottom w:val="single" w:color="FFFFFF" w:sz="4" w:space="31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 xml:space="preserve">   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 xml:space="preserve">  无。 </w:t>
      </w:r>
    </w:p>
    <w:p w14:paraId="0F86238F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bottom w:val="single" w:color="FFFFFF" w:sz="4" w:space="31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3" w:firstLineChars="200"/>
        <w:textAlignment w:val="auto"/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有关建议</w:t>
      </w:r>
      <w:bookmarkEnd w:id="26"/>
      <w:bookmarkEnd w:id="27"/>
    </w:p>
    <w:p w14:paraId="3B72F5D3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bottom w:val="single" w:color="FFFFFF" w:sz="4" w:space="31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 xml:space="preserve">    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 xml:space="preserve"> 无。</w:t>
      </w:r>
    </w:p>
    <w:p w14:paraId="7B2E93A3">
      <w:bookmarkStart w:id="28" w:name="_GoBack"/>
      <w:bookmarkEnd w:id="28"/>
    </w:p>
    <w:sectPr>
      <w:footerReference r:id="rId3" w:type="default"/>
      <w:pgSz w:w="11906" w:h="16838"/>
      <w:pgMar w:top="2098" w:right="1800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7DF5A8C3-5443-4A59-AADE-AD873698FB91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E9678C78-751D-4690-8351-345CD92EBED4}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3" w:fontKey="{306E99D1-513C-44A9-B72D-E3C8EDBED37C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4EDE15B8-1CA9-4691-B2A0-7C8C2E272EE2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5" w:fontKey="{69F7290E-27B6-4740-AF7F-8AD5B0847A87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6" w:fontKey="{18909CC7-728A-4A0D-8659-A9E574BDA98E}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  <w:embedRegular r:id="rId7" w:fontKey="{44F6D985-75F5-4B3F-B483-7253CA7748CF}"/>
  </w:font>
  <w:font w:name="KSOFE8852770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936571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E09000C">
                          <w:pPr>
                            <w:pStyle w:val="3"/>
                          </w:pPr>
                          <w:r>
                            <w:rPr>
                              <w:rFonts w:hint="eastAsia" w:ascii="方正仿宋_GB2312" w:hAnsi="方正仿宋_GB2312" w:eastAsia="方正仿宋_GB2312" w:cs="方正仿宋_GB2312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方正仿宋_GB2312" w:hAnsi="方正仿宋_GB2312" w:eastAsia="方正仿宋_GB2312" w:cs="方正仿宋_GB2312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方正仿宋_GB2312" w:hAnsi="方正仿宋_GB2312" w:eastAsia="方正仿宋_GB2312" w:cs="方正仿宋_GB2312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方正仿宋_GB2312" w:hAnsi="方正仿宋_GB2312" w:eastAsia="方正仿宋_GB2312" w:cs="方正仿宋_GB2312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方正仿宋_GB2312" w:hAnsi="方正仿宋_GB2312" w:eastAsia="方正仿宋_GB2312" w:cs="方正仿宋_GB2312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E09000C">
                    <w:pPr>
                      <w:pStyle w:val="3"/>
                    </w:pPr>
                    <w:r>
                      <w:rPr>
                        <w:rFonts w:hint="eastAsia" w:ascii="方正仿宋_GB2312" w:hAnsi="方正仿宋_GB2312" w:eastAsia="方正仿宋_GB2312" w:cs="方正仿宋_GB2312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方正仿宋_GB2312" w:hAnsi="方正仿宋_GB2312" w:eastAsia="方正仿宋_GB2312" w:cs="方正仿宋_GB2312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方正仿宋_GB2312" w:hAnsi="方正仿宋_GB2312" w:eastAsia="方正仿宋_GB2312" w:cs="方正仿宋_GB2312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方正仿宋_GB2312" w:hAnsi="方正仿宋_GB2312" w:eastAsia="方正仿宋_GB2312" w:cs="方正仿宋_GB2312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方正仿宋_GB2312" w:hAnsi="方正仿宋_GB2312" w:eastAsia="方正仿宋_GB2312" w:cs="方正仿宋_GB2312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C9FB512"/>
    <w:multiLevelType w:val="singleLevel"/>
    <w:tmpl w:val="5C9FB512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CD20ED"/>
    <w:rsid w:val="0CB332F9"/>
    <w:rsid w:val="25665261"/>
    <w:rsid w:val="358C62E7"/>
    <w:rsid w:val="37950E63"/>
    <w:rsid w:val="47555B86"/>
    <w:rsid w:val="50122DCD"/>
    <w:rsid w:val="52A85585"/>
    <w:rsid w:val="5CAC7D1A"/>
    <w:rsid w:val="67970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unhideWhenUsed/>
    <w:qFormat/>
    <w:uiPriority w:val="0"/>
    <w:pPr>
      <w:spacing w:beforeLines="0" w:afterLines="0"/>
      <w:ind w:firstLine="640" w:firstLineChars="200"/>
    </w:pPr>
    <w:rPr>
      <w:rFonts w:hint="default"/>
      <w:sz w:val="32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5">
    <w:name w:val="Body Text First Indent 2"/>
    <w:basedOn w:val="2"/>
    <w:unhideWhenUsed/>
    <w:qFormat/>
    <w:uiPriority w:val="99"/>
    <w:pPr>
      <w:spacing w:beforeLines="0" w:afterLines="0"/>
      <w:ind w:firstLine="420"/>
    </w:pPr>
    <w:rPr>
      <w:rFonts w:hint="default"/>
      <w:sz w:val="32"/>
    </w:rPr>
  </w:style>
  <w:style w:type="paragraph" w:customStyle="1" w:styleId="8">
    <w:name w:val="无间隔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2142</Words>
  <Characters>2209</Characters>
  <Lines>0</Lines>
  <Paragraphs>0</Paragraphs>
  <TotalTime>0</TotalTime>
  <ScaleCrop>false</ScaleCrop>
  <LinksUpToDate>false</LinksUpToDate>
  <CharactersWithSpaces>2214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2025-02-17T08:53:00Z</dcterms:created>
  <dc:creator>Administrator</dc:creator>
  <cp:lastModifiedBy>浅水浮香</cp:lastModifiedBy>
  <dcterms:modified xsi:type="dcterms:W3CDTF">2026-09-18T01:43:16Z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eyJoZGlkIjoiYzAxN2I4ODU2MDNjNzQ1N2M3NzRhMmY1ODY3MGE4M2MiLCJ1c2VySWQiOiI0MjE4NzQ4MjgifQ==</vt:lpwstr>
  </property>
  <property fmtid="{D5CDD505-2E9C-101B-9397-08002B2CF9AE}" pid="4" name="ICV">
    <vt:lpwstr>727097A6A05647B9A2AC6A0A56E6A72C_12</vt:lpwstr>
  </property>
</Properties>
</file>