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B2E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fill="FFFFFF"/>
        </w:rPr>
        <w:t>项目支出绩效自评报告</w:t>
      </w:r>
    </w:p>
    <w:p w14:paraId="6AFF06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方正小标宋_GBK" w:hAnsi="方正小标宋_GBK" w:eastAsia="方正小标宋_GBK" w:cs="方正小标宋_GBK"/>
          <w:i w:val="0"/>
          <w:iCs w:val="0"/>
          <w:caps w:val="0"/>
          <w:color w:val="000000"/>
          <w:spacing w:val="0"/>
          <w:sz w:val="32"/>
          <w:szCs w:val="32"/>
          <w:shd w:val="clear" w:fill="FFFFFF"/>
        </w:rPr>
        <w:t> </w:t>
      </w:r>
      <w:r>
        <w:rPr>
          <w:rFonts w:hint="eastAsia" w:ascii="黑体" w:hAnsi="黑体" w:eastAsia="黑体" w:cs="黑体"/>
          <w:i w:val="0"/>
          <w:iCs w:val="0"/>
          <w:caps w:val="0"/>
          <w:color w:val="000000"/>
          <w:spacing w:val="0"/>
          <w:sz w:val="32"/>
          <w:szCs w:val="32"/>
          <w:shd w:val="clear" w:fill="FFFFFF"/>
        </w:rPr>
        <w:t>一、项目基本情况</w:t>
      </w:r>
    </w:p>
    <w:p w14:paraId="479EC3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（一）项目概况</w:t>
      </w:r>
    </w:p>
    <w:p w14:paraId="48E9D8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1.项目决策背景</w:t>
      </w:r>
      <w:r>
        <w:rPr>
          <w:rFonts w:hint="eastAsia" w:ascii="仿宋_GB2312" w:eastAsia="仿宋_GB2312" w:cs="仿宋_GB2312"/>
          <w:i w:val="0"/>
          <w:iCs w:val="0"/>
          <w:caps w:val="0"/>
          <w:color w:val="000000"/>
          <w:spacing w:val="0"/>
          <w:kern w:val="0"/>
          <w:sz w:val="32"/>
          <w:szCs w:val="32"/>
          <w:shd w:val="clear" w:fill="FFFFFF"/>
          <w:lang w:val="en-US" w:eastAsia="zh-CN" w:bidi="ar"/>
        </w:rPr>
        <w:t>：应急广播是国家政策宣传、应急管理、社会治理和精神文明建设的重要基础设施，是打通信息发布“最后一公里”、实现精准动员的重要渠道，也是创新性开展农村精神文明建设的有效传播途径。</w:t>
      </w:r>
    </w:p>
    <w:p w14:paraId="2C8F56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2.项目主要内容</w:t>
      </w:r>
      <w:r>
        <w:rPr>
          <w:rFonts w:hint="eastAsia" w:ascii="仿宋_GB2312" w:eastAsia="仿宋_GB2312" w:cs="仿宋_GB2312"/>
          <w:i w:val="0"/>
          <w:iCs w:val="0"/>
          <w:caps w:val="0"/>
          <w:color w:val="000000"/>
          <w:spacing w:val="0"/>
          <w:kern w:val="0"/>
          <w:sz w:val="32"/>
          <w:szCs w:val="32"/>
          <w:shd w:val="clear" w:fill="FFFFFF"/>
          <w:lang w:val="en-US" w:eastAsia="zh-CN" w:bidi="ar"/>
        </w:rPr>
        <w:t>：沅陵县应急广播建设及运行维护</w:t>
      </w:r>
    </w:p>
    <w:p w14:paraId="2BA606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3.项目组织管理机构</w:t>
      </w:r>
      <w:r>
        <w:rPr>
          <w:rFonts w:hint="eastAsia" w:ascii="仿宋_GB2312" w:eastAsia="仿宋_GB2312" w:cs="仿宋_GB2312"/>
          <w:i w:val="0"/>
          <w:iCs w:val="0"/>
          <w:caps w:val="0"/>
          <w:color w:val="000000"/>
          <w:spacing w:val="0"/>
          <w:kern w:val="0"/>
          <w:sz w:val="32"/>
          <w:szCs w:val="32"/>
          <w:shd w:val="clear" w:fill="FFFFFF"/>
          <w:lang w:val="en-US" w:eastAsia="zh-CN" w:bidi="ar"/>
        </w:rPr>
        <w:t>：沅陵县文旅广体局</w:t>
      </w:r>
    </w:p>
    <w:p w14:paraId="7FD3FF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楷体" w:hAnsi="楷体" w:eastAsia="楷体" w:cs="楷体"/>
          <w:b/>
          <w:bCs/>
          <w:i w:val="0"/>
          <w:iCs w:val="0"/>
          <w:caps w:val="0"/>
          <w:color w:val="000000"/>
          <w:spacing w:val="0"/>
          <w:sz w:val="32"/>
          <w:szCs w:val="32"/>
          <w:shd w:val="clear" w:fill="FFFFFF"/>
        </w:rPr>
      </w:pPr>
      <w:r>
        <w:rPr>
          <w:rFonts w:hint="default" w:ascii="楷体" w:hAnsi="楷体" w:eastAsia="楷体" w:cs="楷体"/>
          <w:b/>
          <w:bCs/>
          <w:i w:val="0"/>
          <w:iCs w:val="0"/>
          <w:caps w:val="0"/>
          <w:color w:val="000000"/>
          <w:spacing w:val="0"/>
          <w:sz w:val="32"/>
          <w:szCs w:val="32"/>
          <w:shd w:val="clear" w:fill="FFFFFF"/>
        </w:rPr>
        <w:t>（二）预算资金使用管理情况</w:t>
      </w:r>
    </w:p>
    <w:p w14:paraId="657DE2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1"/>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bookmarkStart w:id="0" w:name="_Toc108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1.预算资金安排及管理情况</w:t>
      </w:r>
      <w:bookmarkEnd w:id="0"/>
    </w:p>
    <w:p w14:paraId="3E181D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（1）资金来源及拨付流程</w:t>
      </w:r>
    </w:p>
    <w:p w14:paraId="5DA071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2025年财政下达我局应急广播项目资金 140万元，资金来源为财政资金，</w:t>
      </w:r>
      <w:r>
        <w:rPr>
          <w:rFonts w:hint="eastAsia" w:ascii="仿宋" w:hAnsi="仿宋" w:eastAsia="仿宋" w:cs="仿宋"/>
          <w:b w:val="0"/>
          <w:bCs w:val="0"/>
          <w:sz w:val="32"/>
          <w:szCs w:val="32"/>
        </w:rPr>
        <w:t>从申请到实施严格按照财务制度要求办理</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w:t>
      </w:r>
    </w:p>
    <w:p w14:paraId="5F16C1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（2）资金到位情况</w:t>
      </w:r>
      <w:r>
        <w:rPr>
          <w:rFonts w:hint="eastAsia" w:ascii="仿宋_GB2312" w:eastAsia="仿宋_GB2312" w:cs="仿宋_GB2312"/>
          <w:i w:val="0"/>
          <w:iCs w:val="0"/>
          <w:caps w:val="0"/>
          <w:color w:val="000000"/>
          <w:spacing w:val="0"/>
          <w:kern w:val="0"/>
          <w:sz w:val="32"/>
          <w:szCs w:val="32"/>
          <w:shd w:val="clear" w:fill="FFFFFF"/>
          <w:lang w:val="en-US" w:eastAsia="zh-CN" w:bidi="ar"/>
        </w:rPr>
        <w:t>：沅陵县应急广播建设及运行维护项目资金140万元，为财政资金，到位率100%</w:t>
      </w:r>
    </w:p>
    <w:p w14:paraId="7C5296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b w:val="0"/>
          <w:bCs w:val="0"/>
          <w:sz w:val="32"/>
          <w:szCs w:val="32"/>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（2）资金使用情况</w:t>
      </w:r>
      <w:r>
        <w:rPr>
          <w:rFonts w:hint="eastAsia" w:ascii="仿宋_GB2312" w:eastAsia="仿宋_GB2312" w:cs="仿宋_GB2312"/>
          <w:i w:val="0"/>
          <w:iCs w:val="0"/>
          <w:caps w:val="0"/>
          <w:color w:val="000000"/>
          <w:spacing w:val="0"/>
          <w:kern w:val="0"/>
          <w:sz w:val="32"/>
          <w:szCs w:val="32"/>
          <w:shd w:val="clear" w:fill="FFFFFF"/>
          <w:lang w:val="en-US" w:eastAsia="zh-CN" w:bidi="ar"/>
        </w:rPr>
        <w:t>：沅陵县应急广播建设及运行维护</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项目经费140万元，</w:t>
      </w:r>
      <w:r>
        <w:rPr>
          <w:rFonts w:hint="eastAsia" w:ascii="仿宋" w:hAnsi="仿宋" w:eastAsia="仿宋" w:cs="仿宋"/>
          <w:b w:val="0"/>
          <w:bCs w:val="0"/>
          <w:sz w:val="32"/>
          <w:szCs w:val="32"/>
        </w:rPr>
        <w:t>截止202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年12月底，项目资金已</w:t>
      </w:r>
      <w:r>
        <w:rPr>
          <w:rFonts w:hint="eastAsia" w:ascii="仿宋" w:hAnsi="仿宋" w:eastAsia="仿宋" w:cs="仿宋"/>
          <w:b w:val="0"/>
          <w:bCs w:val="0"/>
          <w:sz w:val="32"/>
          <w:szCs w:val="32"/>
          <w:lang w:val="en-US" w:eastAsia="zh-CN"/>
        </w:rPr>
        <w:t>支付项目工程款100</w:t>
      </w:r>
      <w:r>
        <w:rPr>
          <w:rFonts w:hint="eastAsia" w:ascii="仿宋" w:hAnsi="仿宋" w:eastAsia="仿宋" w:cs="仿宋"/>
          <w:b w:val="0"/>
          <w:bCs w:val="0"/>
          <w:sz w:val="32"/>
          <w:szCs w:val="32"/>
        </w:rPr>
        <w:t>万元</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接收终端运行维护电费40万元</w:t>
      </w:r>
      <w:r>
        <w:rPr>
          <w:rFonts w:hint="eastAsia" w:ascii="仿宋" w:hAnsi="仿宋" w:eastAsia="仿宋" w:cs="仿宋"/>
          <w:b w:val="0"/>
          <w:bCs w:val="0"/>
          <w:sz w:val="32"/>
          <w:szCs w:val="32"/>
        </w:rPr>
        <w:t>。</w:t>
      </w:r>
    </w:p>
    <w:p w14:paraId="1BD2A17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default" w:ascii="仿宋" w:hAnsi="仿宋" w:eastAsia="仿宋" w:cs="宋体"/>
          <w:kern w:val="0"/>
          <w:sz w:val="32"/>
          <w:szCs w:val="32"/>
          <w:lang w:val="en-US" w:eastAsia="zh-CN"/>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（3）资金管理制度及执行情况</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宋体"/>
          <w:kern w:val="0"/>
          <w:sz w:val="32"/>
          <w:szCs w:val="32"/>
        </w:rPr>
        <w:t>202</w:t>
      </w:r>
      <w:r>
        <w:rPr>
          <w:rFonts w:hint="eastAsia" w:ascii="仿宋" w:hAnsi="仿宋" w:eastAsia="仿宋" w:cs="宋体"/>
          <w:kern w:val="0"/>
          <w:sz w:val="32"/>
          <w:szCs w:val="32"/>
          <w:lang w:val="en-US" w:eastAsia="zh-CN"/>
        </w:rPr>
        <w:t>5</w:t>
      </w:r>
      <w:r>
        <w:rPr>
          <w:rFonts w:hint="eastAsia" w:ascii="仿宋" w:hAnsi="仿宋" w:eastAsia="仿宋" w:cs="宋体"/>
          <w:kern w:val="0"/>
          <w:sz w:val="32"/>
          <w:szCs w:val="32"/>
        </w:rPr>
        <w:t>年</w:t>
      </w:r>
      <w:r>
        <w:rPr>
          <w:rFonts w:hint="eastAsia" w:ascii="仿宋_GB2312" w:eastAsia="仿宋_GB2312" w:cs="仿宋_GB2312"/>
          <w:i w:val="0"/>
          <w:iCs w:val="0"/>
          <w:caps w:val="0"/>
          <w:color w:val="000000"/>
          <w:spacing w:val="0"/>
          <w:kern w:val="0"/>
          <w:sz w:val="32"/>
          <w:szCs w:val="32"/>
          <w:shd w:val="clear" w:fill="FFFFFF"/>
          <w:lang w:val="en-US" w:eastAsia="zh-CN" w:bidi="ar"/>
        </w:rPr>
        <w:t>沅陵县应急广播建设及运行维护</w:t>
      </w:r>
      <w:r>
        <w:rPr>
          <w:rFonts w:hint="eastAsia" w:ascii="仿宋" w:hAnsi="仿宋" w:eastAsia="仿宋" w:cs="宋体"/>
          <w:kern w:val="0"/>
          <w:sz w:val="32"/>
          <w:szCs w:val="32"/>
          <w:lang w:eastAsia="zh-CN"/>
        </w:rPr>
        <w:t>项目</w:t>
      </w:r>
      <w:r>
        <w:rPr>
          <w:rFonts w:hint="eastAsia" w:ascii="仿宋" w:hAnsi="仿宋" w:eastAsia="仿宋" w:cs="宋体"/>
          <w:kern w:val="0"/>
          <w:sz w:val="32"/>
          <w:szCs w:val="32"/>
        </w:rPr>
        <w:t>专项资金，全部保障到位，高效运行,发挥资金使用效益，无截留、挪用项目资金行为。</w:t>
      </w:r>
      <w:r>
        <w:rPr>
          <w:rFonts w:hint="eastAsia" w:ascii="仿宋" w:hAnsi="仿宋" w:eastAsia="仿宋" w:cs="宋体"/>
          <w:kern w:val="0"/>
          <w:sz w:val="32"/>
          <w:szCs w:val="32"/>
          <w:lang w:val="en-US" w:eastAsia="zh-CN"/>
        </w:rPr>
        <w:t>2025年财政拨付项目资金140万元，已支出140万元，执行率100%。</w:t>
      </w:r>
    </w:p>
    <w:p w14:paraId="320668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p>
    <w:p w14:paraId="5669754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w:t>
      </w: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项目组织实施管理情况</w:t>
      </w:r>
    </w:p>
    <w:p w14:paraId="4285D69F">
      <w:pPr>
        <w:spacing w:line="520" w:lineRule="exact"/>
        <w:ind w:firstLine="594" w:firstLineChars="198"/>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w:t>
      </w:r>
      <w:r>
        <w:rPr>
          <w:rFonts w:hint="eastAsia" w:ascii="仿宋" w:hAnsi="仿宋" w:eastAsia="仿宋" w:cs="仿宋"/>
          <w:sz w:val="30"/>
          <w:szCs w:val="30"/>
        </w:rPr>
        <w:t>、项目组织情况分析</w:t>
      </w:r>
    </w:p>
    <w:p w14:paraId="0A340F56">
      <w:pPr>
        <w:keepNext w:val="0"/>
        <w:keepLines w:val="0"/>
        <w:pageBreakBefore w:val="0"/>
        <w:kinsoku/>
        <w:wordWrap/>
        <w:overflowPunct/>
        <w:topLinePunct w:val="0"/>
        <w:autoSpaceDE/>
        <w:autoSpaceDN/>
        <w:bidi w:val="0"/>
        <w:spacing w:line="240" w:lineRule="auto"/>
        <w:ind w:firstLine="640" w:firstLineChars="200"/>
        <w:rPr>
          <w:rFonts w:hint="default" w:ascii="仿宋" w:hAnsi="仿宋" w:eastAsia="仿宋" w:cs="仿宋"/>
          <w:bCs/>
          <w:sz w:val="32"/>
          <w:szCs w:val="32"/>
          <w:lang w:val="en-US" w:eastAsia="zh-CN"/>
        </w:rPr>
      </w:pPr>
      <w:r>
        <w:rPr>
          <w:rFonts w:hint="eastAsia" w:ascii="仿宋" w:hAnsi="仿宋" w:eastAsia="仿宋" w:cs="仿宋"/>
          <w:bCs/>
          <w:sz w:val="32"/>
          <w:szCs w:val="32"/>
          <w:lang w:val="en-US" w:eastAsia="zh-CN"/>
        </w:rPr>
        <w:t>我局为加强专项资金的管理和使用，根据业务需要和工作要求，采取机关各股室职责分工、合作的办法，对有关专项工作进行组织管理。</w:t>
      </w:r>
      <w:r>
        <w:rPr>
          <w:rFonts w:hint="eastAsia" w:ascii="仿宋" w:hAnsi="仿宋" w:eastAsia="仿宋" w:cs="仿宋"/>
          <w:i w:val="0"/>
          <w:iCs w:val="0"/>
          <w:caps w:val="0"/>
          <w:color w:val="auto"/>
          <w:spacing w:val="0"/>
          <w:sz w:val="32"/>
          <w:szCs w:val="32"/>
          <w:shd w:val="clear" w:fill="FFFFFF"/>
        </w:rPr>
        <w:t>管理规范，组织实施良好，</w:t>
      </w:r>
      <w:r>
        <w:rPr>
          <w:rFonts w:hint="eastAsia" w:ascii="仿宋" w:hAnsi="仿宋" w:eastAsia="仿宋" w:cs="仿宋"/>
          <w:i w:val="0"/>
          <w:iCs w:val="0"/>
          <w:caps w:val="0"/>
          <w:color w:val="auto"/>
          <w:spacing w:val="0"/>
          <w:sz w:val="32"/>
          <w:szCs w:val="32"/>
          <w:shd w:val="clear" w:fill="FFFFFF"/>
          <w:lang w:val="en-US" w:eastAsia="zh-CN"/>
        </w:rPr>
        <w:t>组织制</w:t>
      </w:r>
      <w:r>
        <w:rPr>
          <w:rFonts w:hint="eastAsia" w:ascii="仿宋" w:hAnsi="仿宋" w:eastAsia="仿宋" w:cs="仿宋"/>
          <w:i w:val="0"/>
          <w:iCs w:val="0"/>
          <w:caps w:val="0"/>
          <w:color w:val="auto"/>
          <w:spacing w:val="0"/>
          <w:sz w:val="32"/>
          <w:szCs w:val="32"/>
          <w:shd w:val="clear" w:fill="FFFFFF"/>
        </w:rPr>
        <w:t>度建设规范，真正做到把项目做实做细做好。</w:t>
      </w:r>
    </w:p>
    <w:p w14:paraId="3B23BAF9">
      <w:pPr>
        <w:pStyle w:val="8"/>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、项目管理情况分析</w:t>
      </w:r>
    </w:p>
    <w:p w14:paraId="5E3178C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jc w:val="both"/>
        <w:textAlignment w:val="auto"/>
        <w:rPr>
          <w:rFonts w:hint="default" w:ascii="仿宋_GB2312" w:eastAsia="仿宋_GB2312" w:cs="仿宋_GB2312"/>
          <w:i w:val="0"/>
          <w:iCs w:val="0"/>
          <w:caps w:val="0"/>
          <w:color w:val="000000"/>
          <w:spacing w:val="0"/>
          <w:kern w:val="0"/>
          <w:sz w:val="32"/>
          <w:szCs w:val="32"/>
          <w:shd w:val="clear" w:fill="FFFFFF"/>
          <w:lang w:val="en-US" w:eastAsia="zh-CN" w:bidi="ar"/>
        </w:rPr>
      </w:pPr>
      <w:r>
        <w:rPr>
          <w:rFonts w:hint="eastAsia" w:ascii="仿宋" w:hAnsi="仿宋" w:eastAsia="仿宋" w:cs="仿宋"/>
          <w:sz w:val="32"/>
          <w:szCs w:val="32"/>
        </w:rPr>
        <w:t>严格执行党政机关厉行节约反对浪费实施办法、机关经费管理办法，明确“预算审批—采购执行—合同管理—决算审计”全流程规范。经费使用纳入县财政“预算联网监督平台”实时监控，接受事中跟踪；</w:t>
      </w:r>
      <w:r>
        <w:rPr>
          <w:rFonts w:hint="eastAsia" w:ascii="仿宋" w:hAnsi="仿宋" w:eastAsia="仿宋" w:cs="仿宋"/>
          <w:sz w:val="32"/>
          <w:szCs w:val="32"/>
          <w:lang w:eastAsia="zh-CN"/>
        </w:rPr>
        <w:t>及时通报进度，</w:t>
      </w:r>
      <w:r>
        <w:rPr>
          <w:rFonts w:hint="eastAsia" w:ascii="仿宋" w:hAnsi="仿宋" w:eastAsia="仿宋" w:cs="仿宋"/>
          <w:sz w:val="32"/>
          <w:szCs w:val="32"/>
        </w:rPr>
        <w:t>对超预算苗头及时预警。</w:t>
      </w:r>
      <w:r>
        <w:rPr>
          <w:rFonts w:hint="eastAsia" w:ascii="仿宋" w:hAnsi="仿宋" w:eastAsia="仿宋" w:cs="仿宋"/>
          <w:sz w:val="32"/>
          <w:szCs w:val="32"/>
          <w:lang w:eastAsia="zh-CN"/>
        </w:rPr>
        <w:t>项目成本支出控制在年度资金预算内。</w:t>
      </w:r>
    </w:p>
    <w:p w14:paraId="5A9E8C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（三）预算绩效目标情况</w:t>
      </w:r>
    </w:p>
    <w:p w14:paraId="6A01C2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1.绩效目标</w:t>
      </w:r>
      <w:r>
        <w:rPr>
          <w:rFonts w:hint="eastAsia" w:ascii="仿宋_GB2312" w:eastAsia="仿宋_GB2312" w:cs="仿宋_GB2312"/>
          <w:i w:val="0"/>
          <w:iCs w:val="0"/>
          <w:caps w:val="0"/>
          <w:color w:val="000000"/>
          <w:spacing w:val="0"/>
          <w:kern w:val="0"/>
          <w:sz w:val="32"/>
          <w:szCs w:val="32"/>
          <w:shd w:val="clear" w:fill="FFFFFF"/>
          <w:lang w:val="en-US" w:eastAsia="zh-CN" w:bidi="ar"/>
        </w:rPr>
        <w:t>：对县、乡、村组接收终端运行维护。</w:t>
      </w:r>
    </w:p>
    <w:p w14:paraId="6BD762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2.绩效指标</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en-US" w:eastAsia="zh-CN" w:bidi="ar"/>
        </w:rPr>
        <w:t>（一）成本指标：①经济成本指标，</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项目成本</w:t>
      </w:r>
      <w:r>
        <w:rPr>
          <w:rFonts w:hint="eastAsia" w:ascii="仿宋" w:hAnsi="仿宋" w:eastAsia="仿宋" w:cs="仿宋"/>
          <w:i w:val="0"/>
          <w:iCs w:val="0"/>
          <w:caps w:val="0"/>
          <w:color w:val="000000"/>
          <w:spacing w:val="0"/>
          <w:kern w:val="0"/>
          <w:sz w:val="32"/>
          <w:szCs w:val="32"/>
          <w:shd w:val="clear" w:fill="FFFFFF"/>
          <w:lang w:val="en-US" w:eastAsia="zh-CN" w:bidi="ar"/>
        </w:rPr>
        <w:t>140万元，②社会成本指标：社会成本节约率0，③生态环境成本指标：生态环境成本节约率0。（二）产出指标：①数量指标：对县、乡、村组接收终端服务进行运行维护，②质量指标 项目绩效目标达成率100，③时效指标：完成及时性，2025年12月31日之前完成。（三）效益指标：①经济效益指标 提高专项资金使用效益。②社会效益指标 提高广大人民群众防灾意识和抗灾能力，普及应急处置的相关知识，提升基层部门的社会治理能力。③生态效益指标：改善文化宣传环境。可持续影响：持续提升公共文化服务质量和服务效能。（四）满意度指标：服务对象满意率95以上。</w:t>
      </w:r>
    </w:p>
    <w:p w14:paraId="3280C780">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leftChars="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二、绩效评价工作情况</w:t>
      </w:r>
    </w:p>
    <w:p w14:paraId="2D671EBB">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（一）绩效评价目的</w:t>
      </w:r>
    </w:p>
    <w:p w14:paraId="3DC50501">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了解2025年度单位整体支出情况、年度工作任务及项目完成情况，年度履职情况，以及所取得的效果。通过评价，在部门预算配置、预算执行等方面总结经验，找准存在的问题，为进一步加强和规范部门资金支出，提升预算配置的合理性；优化财政支出结构提供决策参考和依据，为下一步专项支出绩效评价的逐步推行进行经验性积累奠定基础。</w:t>
      </w:r>
    </w:p>
    <w:p w14:paraId="5FCE28E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 w:name="_Toc11844"/>
      <w:r>
        <w:rPr>
          <w:rFonts w:hint="eastAsia" w:ascii="楷体" w:hAnsi="楷体" w:eastAsia="楷体" w:cs="楷体"/>
          <w:b/>
          <w:bCs/>
          <w:i w:val="0"/>
          <w:iCs w:val="0"/>
          <w:caps w:val="0"/>
          <w:color w:val="000000"/>
          <w:spacing w:val="0"/>
          <w:kern w:val="0"/>
          <w:sz w:val="32"/>
          <w:szCs w:val="32"/>
          <w:shd w:val="clear" w:fill="FFFFFF"/>
          <w:lang w:val="en-US" w:eastAsia="zh-CN" w:bidi="ar"/>
        </w:rPr>
        <w:t>（二）被评价单位、绩效评价范围与时段</w:t>
      </w:r>
      <w:bookmarkEnd w:id="1"/>
    </w:p>
    <w:p w14:paraId="01B4019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专项绩效评价单位是本单位，评价范围是对2025年专项活动项目经费开展情况进行评价。</w:t>
      </w:r>
    </w:p>
    <w:p w14:paraId="1556BC8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 w:name="_Toc31835"/>
      <w:r>
        <w:rPr>
          <w:rFonts w:hint="eastAsia" w:ascii="楷体" w:hAnsi="楷体" w:eastAsia="楷体" w:cs="楷体"/>
          <w:b/>
          <w:bCs/>
          <w:i w:val="0"/>
          <w:iCs w:val="0"/>
          <w:caps w:val="0"/>
          <w:color w:val="000000"/>
          <w:spacing w:val="0"/>
          <w:kern w:val="0"/>
          <w:sz w:val="32"/>
          <w:szCs w:val="32"/>
          <w:shd w:val="clear" w:fill="FFFFFF"/>
          <w:lang w:val="en-US" w:eastAsia="zh-CN" w:bidi="ar"/>
        </w:rPr>
        <w:t>（三）绩效评价原则、评价指标体系、评价方法</w:t>
      </w:r>
      <w:bookmarkEnd w:id="2"/>
    </w:p>
    <w:p w14:paraId="1CE812C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按照专项绩效管理有关规定，遵循客观、实事求是、公正、公开的原则，对项目决策、准备、实施等进行自我评价。</w:t>
      </w:r>
    </w:p>
    <w:p w14:paraId="08DA59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3" w:name="_Toc7615"/>
      <w:bookmarkStart w:id="4" w:name="_Toc32076"/>
      <w:r>
        <w:rPr>
          <w:rFonts w:hint="eastAsia" w:ascii="黑体" w:hAnsi="黑体" w:eastAsia="黑体" w:cs="黑体"/>
          <w:i w:val="0"/>
          <w:iCs w:val="0"/>
          <w:caps w:val="0"/>
          <w:color w:val="000000"/>
          <w:spacing w:val="0"/>
          <w:kern w:val="0"/>
          <w:sz w:val="32"/>
          <w:szCs w:val="32"/>
          <w:shd w:val="clear" w:fill="FFFFFF"/>
          <w:lang w:val="en-US" w:eastAsia="zh-CN" w:bidi="ar"/>
        </w:rPr>
        <w:t>三、主要绩效及评价结论</w:t>
      </w:r>
      <w:bookmarkEnd w:id="3"/>
      <w:bookmarkEnd w:id="4"/>
    </w:p>
    <w:p w14:paraId="69EB0A34">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（一）社会效益:</w:t>
      </w:r>
      <w:r>
        <w:rPr>
          <w:rFonts w:hint="eastAsia" w:ascii="仿宋" w:hAnsi="仿宋" w:eastAsia="仿宋" w:cs="宋体"/>
          <w:sz w:val="32"/>
          <w:szCs w:val="32"/>
        </w:rPr>
        <w:t>应急广播体系是政府直接面向灾区群众进行救灾的最有效的指挥调度平台，是政府公众和灾区民众沟通情况传达意见的重要载体应急广播系统规划与建设应能突出各层级党委、政府的“平时”组织管理与“战时”应急指挥调度的能力,除了在应急时期及时、准确的播报应急信息外，在“平时”也可利用本系统传送应急知识普及、政策信息、社会公告以及乡镇基层发布的所辖地区的社会治理信息等，提高广大人民群众防灾意识和抗灾能力，普及应急处置的相关知识，提升基层部门的社会治理能力</w:t>
      </w:r>
      <w:r>
        <w:rPr>
          <w:rFonts w:hint="eastAsia" w:ascii="仿宋" w:hAnsi="仿宋" w:eastAsia="仿宋" w:cs="宋体"/>
          <w:sz w:val="32"/>
          <w:szCs w:val="32"/>
          <w:lang w:eastAsia="zh-CN"/>
        </w:rPr>
        <w:t>。</w:t>
      </w:r>
    </w:p>
    <w:p w14:paraId="1165D3E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（二）生态效益:</w:t>
      </w:r>
      <w:r>
        <w:rPr>
          <w:rFonts w:hint="eastAsia" w:ascii="仿宋" w:hAnsi="仿宋" w:eastAsia="仿宋"/>
          <w:color w:val="000000"/>
          <w:sz w:val="32"/>
          <w:szCs w:val="32"/>
          <w:shd w:val="clear" w:color="auto" w:fill="FFFFFF"/>
        </w:rPr>
        <w:t>改善文化宣传环境。</w:t>
      </w:r>
    </w:p>
    <w:p w14:paraId="7E8F03C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仿宋"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（三）可持续影响:</w:t>
      </w:r>
      <w:r>
        <w:rPr>
          <w:rFonts w:hint="eastAsia" w:ascii="仿宋" w:hAnsi="仿宋" w:eastAsia="仿宋" w:cs="宋体"/>
          <w:sz w:val="32"/>
          <w:szCs w:val="32"/>
        </w:rPr>
        <w:t>提高广大人民群众防灾意识和抗灾能力，普及应急处置的相关知识，提升基层部门的社会治理能力</w:t>
      </w:r>
      <w:r>
        <w:rPr>
          <w:rFonts w:hint="eastAsia" w:ascii="仿宋" w:hAnsi="仿宋" w:eastAsia="仿宋" w:cs="宋体"/>
          <w:sz w:val="32"/>
          <w:szCs w:val="32"/>
          <w:lang w:eastAsia="zh-CN"/>
        </w:rPr>
        <w:t>。</w:t>
      </w:r>
    </w:p>
    <w:p w14:paraId="472DAC80">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（四）满意度情况:</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服务对象满意率90%以上。</w:t>
      </w:r>
    </w:p>
    <w:p w14:paraId="6A332AA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（五）评价结论:</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2025年应急广播工作任务已完成，目标责任履职情况好,专项绩效自评综合得分为100分。</w:t>
      </w:r>
    </w:p>
    <w:p w14:paraId="08651B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5" w:name="_Toc27541"/>
      <w:bookmarkStart w:id="6" w:name="_Toc16332"/>
      <w:r>
        <w:rPr>
          <w:rFonts w:hint="eastAsia" w:ascii="黑体" w:hAnsi="黑体" w:eastAsia="黑体" w:cs="黑体"/>
          <w:i w:val="0"/>
          <w:iCs w:val="0"/>
          <w:caps w:val="0"/>
          <w:color w:val="000000"/>
          <w:spacing w:val="0"/>
          <w:kern w:val="0"/>
          <w:sz w:val="32"/>
          <w:szCs w:val="32"/>
          <w:shd w:val="clear" w:fill="FFFFFF"/>
          <w:lang w:val="en-US" w:eastAsia="zh-CN" w:bidi="ar"/>
        </w:rPr>
        <w:t>四、绩效评价指标分析</w:t>
      </w:r>
      <w:bookmarkEnd w:id="5"/>
      <w:bookmarkEnd w:id="6"/>
    </w:p>
    <w:p w14:paraId="3C5595F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7" w:name="_Toc17679"/>
      <w:r>
        <w:rPr>
          <w:rFonts w:hint="eastAsia" w:ascii="楷体" w:hAnsi="楷体" w:eastAsia="楷体" w:cs="楷体"/>
          <w:b/>
          <w:bCs/>
          <w:i w:val="0"/>
          <w:iCs w:val="0"/>
          <w:caps w:val="0"/>
          <w:color w:val="000000"/>
          <w:spacing w:val="0"/>
          <w:kern w:val="0"/>
          <w:sz w:val="32"/>
          <w:szCs w:val="32"/>
          <w:shd w:val="clear" w:fill="FFFFFF"/>
          <w:lang w:val="en-US" w:eastAsia="zh-CN" w:bidi="ar"/>
        </w:rPr>
        <w:t>(一)项目决策情况</w:t>
      </w:r>
      <w:bookmarkEnd w:id="7"/>
    </w:p>
    <w:p w14:paraId="04E45BC2">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1、前期准备：准备自评资料并保证完整性、及时性、真实性、佐证材料的准备、材料质量等要求。</w:t>
      </w:r>
    </w:p>
    <w:p w14:paraId="0525CDA7">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2、组织实施：包括布置、审核、检查等情况存在的问题及有关意见及建议。</w:t>
      </w:r>
    </w:p>
    <w:p w14:paraId="4BC075D3">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3、分析评价：按照项目绩效管理有关规定，遵循客观、实事求是、公正、公开的原则，对项目决策、准备、实施等进行了自我评价。</w:t>
      </w:r>
    </w:p>
    <w:p w14:paraId="0878E7C1">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8" w:name="_Toc28411"/>
      <w:r>
        <w:rPr>
          <w:rFonts w:hint="eastAsia" w:ascii="楷体" w:hAnsi="楷体" w:eastAsia="楷体" w:cs="楷体"/>
          <w:b/>
          <w:bCs/>
          <w:i w:val="0"/>
          <w:iCs w:val="0"/>
          <w:caps w:val="0"/>
          <w:color w:val="000000"/>
          <w:spacing w:val="0"/>
          <w:kern w:val="0"/>
          <w:sz w:val="32"/>
          <w:szCs w:val="32"/>
          <w:shd w:val="clear" w:fill="FFFFFF"/>
          <w:lang w:val="en-US" w:eastAsia="zh-CN" w:bidi="ar"/>
        </w:rPr>
        <w:t>(二)项目过程情况</w:t>
      </w:r>
      <w:bookmarkEnd w:id="8"/>
    </w:p>
    <w:p w14:paraId="2D2D8C2D">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outlineLvl w:val="2"/>
        <w:rPr>
          <w:rFonts w:hint="eastAsia" w:ascii="仿宋_GB2312" w:eastAsia="仿宋" w:cs="仿宋_GB2312" w:hAnsiTheme="minorHAnsi"/>
          <w:i w:val="0"/>
          <w:iCs w:val="0"/>
          <w:caps w:val="0"/>
          <w:color w:val="000000"/>
          <w:spacing w:val="0"/>
          <w:kern w:val="0"/>
          <w:sz w:val="32"/>
          <w:szCs w:val="32"/>
          <w:shd w:val="clear" w:fill="FFFFFF"/>
          <w:lang w:val="en-US" w:eastAsia="zh-CN" w:bidi="ar"/>
        </w:rPr>
      </w:pPr>
      <w:bookmarkStart w:id="9" w:name="_Toc1014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1.资金管理</w:t>
      </w:r>
      <w:bookmarkEnd w:id="9"/>
      <w:r>
        <w:rPr>
          <w:rFonts w:hint="eastAsia" w:ascii="仿宋_GB2312" w:eastAsia="仿宋_GB2312" w:cs="仿宋_GB2312"/>
          <w:i w:val="0"/>
          <w:iCs w:val="0"/>
          <w:caps w:val="0"/>
          <w:color w:val="000000"/>
          <w:spacing w:val="0"/>
          <w:kern w:val="0"/>
          <w:sz w:val="32"/>
          <w:szCs w:val="32"/>
          <w:shd w:val="clear" w:fill="FFFFFF"/>
          <w:lang w:val="en-US" w:eastAsia="zh-CN" w:bidi="ar"/>
        </w:rPr>
        <w:t>：我局严格执行专项资金管理制度，专项专用，</w:t>
      </w:r>
      <w:r>
        <w:rPr>
          <w:rFonts w:hint="eastAsia" w:ascii="仿宋" w:hAnsi="仿宋" w:eastAsia="仿宋" w:cs="宋体"/>
          <w:kern w:val="0"/>
          <w:sz w:val="32"/>
          <w:szCs w:val="32"/>
        </w:rPr>
        <w:t>无截留、挪用项目资金行为</w:t>
      </w:r>
      <w:r>
        <w:rPr>
          <w:rFonts w:hint="eastAsia" w:ascii="仿宋" w:hAnsi="仿宋" w:eastAsia="仿宋" w:cs="宋体"/>
          <w:kern w:val="0"/>
          <w:sz w:val="32"/>
          <w:szCs w:val="32"/>
          <w:lang w:eastAsia="zh-CN"/>
        </w:rPr>
        <w:t>。</w:t>
      </w:r>
    </w:p>
    <w:p w14:paraId="24F4F4DF">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outlineLvl w:val="2"/>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bookmarkStart w:id="10" w:name="_Toc12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2.项目实施</w:t>
      </w:r>
      <w:bookmarkEnd w:id="10"/>
    </w:p>
    <w:p w14:paraId="3F2AD688">
      <w:pPr>
        <w:spacing w:line="520" w:lineRule="exact"/>
        <w:ind w:firstLine="633" w:firstLineChars="198"/>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1</w:t>
      </w:r>
      <w:r>
        <w:rPr>
          <w:rFonts w:hint="eastAsia" w:ascii="宋体" w:hAnsi="宋体" w:eastAsia="宋体" w:cs="宋体"/>
          <w:sz w:val="32"/>
          <w:szCs w:val="32"/>
          <w:lang w:eastAsia="zh-CN"/>
        </w:rPr>
        <w:t>）</w:t>
      </w:r>
      <w:r>
        <w:rPr>
          <w:rFonts w:hint="eastAsia" w:ascii="宋体" w:hAnsi="宋体" w:eastAsia="宋体" w:cs="宋体"/>
          <w:sz w:val="32"/>
          <w:szCs w:val="32"/>
        </w:rPr>
        <w:t>、项目组织情况分析</w:t>
      </w:r>
    </w:p>
    <w:p w14:paraId="62038CC2">
      <w:pPr>
        <w:ind w:firstLine="787" w:firstLineChars="246"/>
        <w:rPr>
          <w:rFonts w:hint="eastAsia" w:ascii="仿宋" w:hAnsi="仿宋" w:eastAsia="仿宋" w:cs="仿宋"/>
          <w:bCs/>
          <w:sz w:val="32"/>
          <w:szCs w:val="32"/>
          <w:lang w:eastAsia="zh-CN"/>
        </w:rPr>
      </w:pPr>
      <w:r>
        <w:rPr>
          <w:rFonts w:hint="eastAsia" w:ascii="仿宋" w:hAnsi="仿宋" w:eastAsia="仿宋" w:cs="仿宋"/>
          <w:bCs/>
          <w:sz w:val="32"/>
          <w:szCs w:val="32"/>
        </w:rPr>
        <w:t>该项目中我们按照</w:t>
      </w:r>
      <w:r>
        <w:rPr>
          <w:rFonts w:hint="eastAsia" w:ascii="仿宋" w:hAnsi="仿宋" w:eastAsia="仿宋" w:cs="仿宋"/>
          <w:bCs/>
          <w:sz w:val="32"/>
          <w:szCs w:val="32"/>
          <w:lang w:eastAsia="zh-CN"/>
        </w:rPr>
        <w:t>政府采购</w:t>
      </w:r>
      <w:r>
        <w:rPr>
          <w:rFonts w:hint="eastAsia" w:ascii="仿宋" w:hAnsi="仿宋" w:eastAsia="仿宋" w:cs="仿宋"/>
          <w:bCs/>
          <w:sz w:val="32"/>
          <w:szCs w:val="32"/>
        </w:rPr>
        <w:t>法律规定方式，</w:t>
      </w:r>
      <w:r>
        <w:rPr>
          <w:rFonts w:hint="eastAsia" w:ascii="仿宋" w:hAnsi="仿宋" w:eastAsia="仿宋" w:cs="仿宋"/>
          <w:bCs/>
          <w:sz w:val="32"/>
          <w:szCs w:val="32"/>
          <w:lang w:eastAsia="zh-CN"/>
        </w:rPr>
        <w:t>对应急广播项目中需要进行采购的项目进行采购。</w:t>
      </w:r>
    </w:p>
    <w:p w14:paraId="7A43FF74">
      <w:pPr>
        <w:pStyle w:val="8"/>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、项目管理情况分析</w:t>
      </w:r>
    </w:p>
    <w:p w14:paraId="295DC246">
      <w:pPr>
        <w:ind w:firstLine="627" w:firstLineChars="196"/>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 w:hAnsi="仿宋" w:eastAsia="仿宋" w:cs="仿宋"/>
          <w:bCs/>
          <w:sz w:val="32"/>
          <w:szCs w:val="32"/>
        </w:rPr>
        <w:t>按照专项资金项目管理制度，经常性自查</w:t>
      </w:r>
      <w:r>
        <w:rPr>
          <w:rFonts w:hint="eastAsia" w:ascii="宋体" w:hAnsi="宋体" w:eastAsia="宋体" w:cs="宋体"/>
          <w:bCs/>
          <w:sz w:val="32"/>
          <w:szCs w:val="32"/>
        </w:rPr>
        <w:t>，</w:t>
      </w:r>
      <w:r>
        <w:rPr>
          <w:rFonts w:hint="eastAsia" w:ascii="仿宋" w:hAnsi="仿宋" w:eastAsia="仿宋" w:cs="仿宋"/>
          <w:bCs/>
          <w:sz w:val="32"/>
          <w:szCs w:val="32"/>
          <w:lang w:eastAsia="zh-CN"/>
        </w:rPr>
        <w:t>并</w:t>
      </w:r>
      <w:r>
        <w:rPr>
          <w:rFonts w:hint="eastAsia" w:ascii="仿宋" w:hAnsi="仿宋" w:eastAsia="仿宋" w:cs="仿宋"/>
          <w:bCs/>
          <w:sz w:val="32"/>
          <w:szCs w:val="32"/>
        </w:rPr>
        <w:t>派</w:t>
      </w:r>
      <w:r>
        <w:rPr>
          <w:rFonts w:hint="eastAsia" w:ascii="仿宋" w:hAnsi="仿宋" w:eastAsia="仿宋" w:cs="仿宋"/>
          <w:bCs/>
          <w:sz w:val="32"/>
          <w:szCs w:val="32"/>
          <w:lang w:eastAsia="zh-CN"/>
        </w:rPr>
        <w:t>项目管理工作</w:t>
      </w:r>
      <w:r>
        <w:rPr>
          <w:rFonts w:hint="eastAsia" w:ascii="仿宋" w:hAnsi="仿宋" w:eastAsia="仿宋" w:cs="仿宋"/>
          <w:bCs/>
          <w:sz w:val="32"/>
          <w:szCs w:val="32"/>
        </w:rPr>
        <w:t>人员进行</w:t>
      </w:r>
      <w:r>
        <w:rPr>
          <w:rFonts w:hint="eastAsia" w:ascii="仿宋" w:hAnsi="仿宋" w:eastAsia="仿宋" w:cs="仿宋"/>
          <w:bCs/>
          <w:sz w:val="32"/>
          <w:szCs w:val="32"/>
          <w:lang w:eastAsia="zh-CN"/>
        </w:rPr>
        <w:t>日常</w:t>
      </w:r>
      <w:r>
        <w:rPr>
          <w:rFonts w:hint="eastAsia" w:ascii="仿宋" w:hAnsi="仿宋" w:eastAsia="仿宋" w:cs="仿宋"/>
          <w:bCs/>
          <w:sz w:val="32"/>
          <w:szCs w:val="32"/>
        </w:rPr>
        <w:t>监督</w:t>
      </w:r>
      <w:r>
        <w:rPr>
          <w:rFonts w:hint="eastAsia" w:ascii="仿宋" w:hAnsi="仿宋" w:eastAsia="仿宋" w:cs="仿宋"/>
          <w:bCs/>
          <w:sz w:val="32"/>
          <w:szCs w:val="32"/>
          <w:lang w:eastAsia="zh-CN"/>
        </w:rPr>
        <w:t>管理</w:t>
      </w:r>
      <w:r>
        <w:rPr>
          <w:rFonts w:hint="eastAsia" w:ascii="仿宋" w:hAnsi="仿宋" w:eastAsia="仿宋" w:cs="仿宋"/>
          <w:bCs/>
          <w:sz w:val="32"/>
          <w:szCs w:val="32"/>
        </w:rPr>
        <w:t>。</w:t>
      </w:r>
    </w:p>
    <w:p w14:paraId="542B0D1E">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1" w:name="_Toc6604"/>
      <w:r>
        <w:rPr>
          <w:rFonts w:hint="eastAsia" w:ascii="楷体" w:hAnsi="楷体" w:eastAsia="楷体" w:cs="楷体"/>
          <w:b/>
          <w:bCs/>
          <w:i w:val="0"/>
          <w:iCs w:val="0"/>
          <w:caps w:val="0"/>
          <w:color w:val="000000"/>
          <w:spacing w:val="0"/>
          <w:kern w:val="0"/>
          <w:sz w:val="32"/>
          <w:szCs w:val="32"/>
          <w:shd w:val="clear" w:fill="FFFFFF"/>
          <w:lang w:val="en-US" w:eastAsia="zh-CN" w:bidi="ar"/>
        </w:rPr>
        <w:t>(三)项目产出情况</w:t>
      </w:r>
      <w:bookmarkEnd w:id="11"/>
    </w:p>
    <w:p w14:paraId="3D9F0F12">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2"/>
        <w:rPr>
          <w:rFonts w:hint="eastAsia" w:ascii="仿宋_GB2312" w:eastAsia="仿宋_GB2312" w:cs="仿宋_GB2312"/>
          <w:i w:val="0"/>
          <w:iCs w:val="0"/>
          <w:caps w:val="0"/>
          <w:color w:val="000000"/>
          <w:spacing w:val="0"/>
          <w:kern w:val="0"/>
          <w:sz w:val="32"/>
          <w:szCs w:val="32"/>
          <w:shd w:val="clear" w:fill="FFFFFF"/>
          <w:lang w:val="en-US" w:eastAsia="zh-CN" w:bidi="ar"/>
        </w:rPr>
      </w:pPr>
      <w:bookmarkStart w:id="12" w:name="_Toc20742"/>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1.产出数量</w:t>
      </w:r>
      <w:bookmarkEnd w:id="12"/>
      <w:r>
        <w:rPr>
          <w:rFonts w:hint="eastAsia" w:ascii="仿宋_GB2312" w:eastAsia="仿宋_GB2312" w:cs="仿宋_GB2312"/>
          <w:i w:val="0"/>
          <w:iCs w:val="0"/>
          <w:caps w:val="0"/>
          <w:color w:val="000000"/>
          <w:spacing w:val="0"/>
          <w:kern w:val="0"/>
          <w:sz w:val="32"/>
          <w:szCs w:val="32"/>
          <w:shd w:val="clear" w:fill="FFFFFF"/>
          <w:lang w:val="en-US" w:eastAsia="zh-CN" w:bidi="ar"/>
        </w:rPr>
        <w:t>;县、乡、村组接收终端运行维护</w:t>
      </w:r>
      <w:bookmarkStart w:id="13" w:name="_Toc5372"/>
      <w:r>
        <w:rPr>
          <w:rFonts w:hint="eastAsia" w:ascii="仿宋_GB2312" w:eastAsia="仿宋_GB2312" w:cs="仿宋_GB2312"/>
          <w:i w:val="0"/>
          <w:iCs w:val="0"/>
          <w:caps w:val="0"/>
          <w:color w:val="000000"/>
          <w:spacing w:val="0"/>
          <w:kern w:val="0"/>
          <w:sz w:val="32"/>
          <w:szCs w:val="32"/>
          <w:shd w:val="clear" w:fill="FFFFFF"/>
          <w:lang w:val="en-US" w:eastAsia="zh-CN" w:bidi="ar"/>
        </w:rPr>
        <w:t>数量4030。</w:t>
      </w:r>
    </w:p>
    <w:p w14:paraId="08D6578E">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2.产出质量</w:t>
      </w:r>
      <w:bookmarkEnd w:id="13"/>
      <w:r>
        <w:rPr>
          <w:rFonts w:hint="eastAsia" w:ascii="仿宋_GB2312" w:eastAsia="仿宋_GB2312" w:cs="仿宋_GB2312"/>
          <w:i w:val="0"/>
          <w:iCs w:val="0"/>
          <w:caps w:val="0"/>
          <w:color w:val="000000"/>
          <w:spacing w:val="0"/>
          <w:kern w:val="0"/>
          <w:sz w:val="32"/>
          <w:szCs w:val="32"/>
          <w:shd w:val="clear" w:fill="FFFFFF"/>
          <w:lang w:val="en-US" w:eastAsia="zh-CN" w:bidi="ar"/>
        </w:rPr>
        <w:t>；</w:t>
      </w:r>
      <w:bookmarkStart w:id="14" w:name="_Toc25948"/>
      <w:r>
        <w:rPr>
          <w:rFonts w:hint="eastAsia" w:ascii="方正仿宋_GB2312" w:hAnsi="方正仿宋_GB2312" w:eastAsia="方正仿宋_GB2312" w:cs="方正仿宋_GB2312"/>
          <w:color w:val="auto"/>
          <w:sz w:val="32"/>
          <w:szCs w:val="32"/>
          <w:highlight w:val="none"/>
          <w:lang w:val="en-US" w:eastAsia="zh-CN"/>
        </w:rPr>
        <w:t>累计维护终端1852台，终端在线率从维护前的46.03%（1855台/4030台）提升至91.70%（3584台/4030台），防汛关键期启动24小时应急值班机制，累计接收转发上级预警信息200余条，覆盖群众60余万人次。全年累计播发各类信息1192条，涵盖防灾减灾、政策宣传、民生服务等多个领域，打通了信息服务“最后一公里”。</w:t>
      </w:r>
    </w:p>
    <w:p w14:paraId="2D4AD351">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3.产出成本</w:t>
      </w:r>
      <w:bookmarkEnd w:id="14"/>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sz w:val="32"/>
          <w:szCs w:val="32"/>
          <w:lang w:eastAsia="zh-CN"/>
        </w:rPr>
        <w:t>项目成本控制在预算内支出。</w:t>
      </w:r>
      <w:bookmarkStart w:id="15" w:name="_Toc21477"/>
    </w:p>
    <w:p w14:paraId="0B2DD57A">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4.产出时效</w:t>
      </w:r>
      <w:bookmarkEnd w:id="15"/>
      <w:r>
        <w:rPr>
          <w:rFonts w:hint="eastAsia" w:ascii="仿宋_GB2312" w:eastAsia="仿宋_GB2312" w:cs="仿宋_GB2312"/>
          <w:i w:val="0"/>
          <w:iCs w:val="0"/>
          <w:caps w:val="0"/>
          <w:color w:val="000000"/>
          <w:spacing w:val="0"/>
          <w:kern w:val="0"/>
          <w:sz w:val="32"/>
          <w:szCs w:val="32"/>
          <w:shd w:val="clear" w:fill="FFFFFF"/>
          <w:lang w:val="en-US" w:eastAsia="zh-CN" w:bidi="ar"/>
        </w:rPr>
        <w:t>：工作完成时间在2025年12月31日全部完成，完成率100%</w:t>
      </w:r>
      <w:bookmarkStart w:id="16" w:name="_Toc3072"/>
      <w:bookmarkStart w:id="17" w:name="_Toc12690"/>
    </w:p>
    <w:p w14:paraId="30CBFEBA">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sz w:val="32"/>
          <w:szCs w:val="32"/>
        </w:rPr>
      </w:pPr>
      <w:r>
        <w:rPr>
          <w:rFonts w:hint="eastAsia" w:ascii="楷体" w:hAnsi="楷体" w:eastAsia="楷体" w:cs="楷体"/>
          <w:b/>
          <w:bCs/>
          <w:i w:val="0"/>
          <w:iCs w:val="0"/>
          <w:caps w:val="0"/>
          <w:color w:val="000000"/>
          <w:spacing w:val="0"/>
          <w:kern w:val="0"/>
          <w:sz w:val="32"/>
          <w:szCs w:val="32"/>
          <w:shd w:val="clear" w:fill="FFFFFF"/>
          <w:lang w:val="en-US" w:eastAsia="zh-CN" w:bidi="ar"/>
        </w:rPr>
        <w:t>(四)项目效益情况</w:t>
      </w:r>
      <w:bookmarkEnd w:id="16"/>
      <w:bookmarkEnd w:id="17"/>
      <w:r>
        <w:rPr>
          <w:rFonts w:hint="eastAsia" w:ascii="宋体" w:hAnsi="宋体" w:eastAsia="宋体" w:cs="宋体"/>
          <w:b/>
          <w:sz w:val="32"/>
          <w:szCs w:val="32"/>
        </w:rPr>
        <w:t>1、项目经济性分析</w:t>
      </w:r>
    </w:p>
    <w:p w14:paraId="50024FCA">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宋体" w:hAnsi="宋体" w:eastAsia="宋体" w:cs="宋体"/>
          <w:sz w:val="32"/>
          <w:szCs w:val="32"/>
        </w:rPr>
        <w:t>（1）项目成本（预算）控制情况</w:t>
      </w:r>
      <w:r>
        <w:rPr>
          <w:rFonts w:hint="eastAsia" w:ascii="宋体" w:hAnsi="宋体" w:eastAsia="宋体" w:cs="宋体"/>
          <w:sz w:val="32"/>
          <w:szCs w:val="32"/>
          <w:lang w:eastAsia="zh-CN"/>
        </w:rPr>
        <w:t>：</w:t>
      </w:r>
      <w:r>
        <w:rPr>
          <w:rFonts w:hint="eastAsia" w:ascii="仿宋" w:hAnsi="仿宋" w:eastAsia="仿宋" w:cs="仿宋"/>
          <w:color w:val="3D3D3D"/>
          <w:sz w:val="32"/>
          <w:szCs w:val="32"/>
        </w:rPr>
        <w:t>项目成本控制在预算范围之内，可控制。</w:t>
      </w:r>
      <w:r>
        <w:rPr>
          <w:rFonts w:hint="eastAsia" w:ascii="仿宋" w:hAnsi="仿宋" w:eastAsia="仿宋" w:cs="仿宋"/>
          <w:sz w:val="32"/>
          <w:szCs w:val="32"/>
        </w:rPr>
        <w:t>（2）项目成本（预算）节约情况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按照合同金额支付工程款。</w:t>
      </w:r>
    </w:p>
    <w:p w14:paraId="75F63BC1">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sz w:val="32"/>
          <w:szCs w:val="32"/>
        </w:rPr>
        <w:t>2、项目的效率性分析</w:t>
      </w:r>
      <w:r>
        <w:rPr>
          <w:rFonts w:hint="eastAsia" w:ascii="仿宋" w:hAnsi="仿宋" w:eastAsia="仿宋" w:cs="仿宋"/>
          <w:sz w:val="32"/>
          <w:szCs w:val="32"/>
        </w:rPr>
        <w:t>（1）项目的实施进度</w:t>
      </w:r>
      <w:r>
        <w:rPr>
          <w:rFonts w:hint="eastAsia" w:ascii="仿宋" w:hAnsi="仿宋" w:eastAsia="仿宋" w:cs="仿宋"/>
          <w:sz w:val="32"/>
          <w:szCs w:val="32"/>
          <w:lang w:val="en-US" w:eastAsia="zh-CN"/>
        </w:rPr>
        <w:t>:应急广播工程项目已完工。</w:t>
      </w:r>
      <w:r>
        <w:rPr>
          <w:rFonts w:hint="eastAsia" w:ascii="仿宋" w:hAnsi="仿宋" w:eastAsia="仿宋" w:cs="仿宋"/>
          <w:sz w:val="32"/>
          <w:szCs w:val="32"/>
        </w:rPr>
        <w:t>（2）项目完成质量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项目绩效完成率100%。</w:t>
      </w:r>
    </w:p>
    <w:p w14:paraId="253B043B">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宋体"/>
          <w:sz w:val="32"/>
          <w:szCs w:val="32"/>
          <w:lang w:eastAsia="zh-CN"/>
        </w:rPr>
      </w:pPr>
      <w:r>
        <w:rPr>
          <w:rFonts w:hint="eastAsia" w:ascii="仿宋" w:hAnsi="仿宋" w:eastAsia="仿宋" w:cs="仿宋"/>
          <w:b/>
          <w:sz w:val="32"/>
          <w:szCs w:val="32"/>
        </w:rPr>
        <w:t>3、项目的效益性分析</w:t>
      </w:r>
      <w:r>
        <w:rPr>
          <w:rFonts w:hint="eastAsia" w:ascii="仿宋" w:hAnsi="仿宋" w:eastAsia="仿宋" w:cs="仿宋"/>
          <w:sz w:val="32"/>
          <w:szCs w:val="32"/>
        </w:rPr>
        <w:t>（1）项目预期目标完成程度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该项目已完工。</w:t>
      </w:r>
      <w:r>
        <w:rPr>
          <w:rFonts w:hint="eastAsia" w:ascii="仿宋" w:hAnsi="仿宋" w:eastAsia="仿宋" w:cs="仿宋"/>
          <w:sz w:val="32"/>
          <w:szCs w:val="32"/>
        </w:rPr>
        <w:t>（2）项目实施对经济和社会的影响</w:t>
      </w:r>
      <w:r>
        <w:rPr>
          <w:rFonts w:hint="eastAsia" w:ascii="仿宋" w:hAnsi="仿宋" w:eastAsia="仿宋" w:cs="仿宋"/>
          <w:sz w:val="32"/>
          <w:szCs w:val="32"/>
          <w:lang w:eastAsia="zh-CN"/>
        </w:rPr>
        <w:t>：</w:t>
      </w:r>
      <w:r>
        <w:rPr>
          <w:rFonts w:hint="eastAsia" w:ascii="仿宋" w:hAnsi="仿宋" w:eastAsia="仿宋" w:cs="仿宋"/>
          <w:sz w:val="32"/>
          <w:szCs w:val="32"/>
          <w:shd w:val="clear" w:color="auto" w:fill="FFFFFF"/>
        </w:rPr>
        <w:t>（1）经济效益。</w:t>
      </w:r>
      <w:r>
        <w:rPr>
          <w:rFonts w:hint="eastAsia" w:ascii="仿宋" w:hAnsi="仿宋" w:eastAsia="仿宋" w:cs="仿宋"/>
          <w:sz w:val="32"/>
          <w:szCs w:val="32"/>
          <w:lang w:val="en-US" w:eastAsia="zh-CN"/>
        </w:rPr>
        <w:t>提高专项资金使用效益。</w:t>
      </w:r>
      <w:r>
        <w:rPr>
          <w:rFonts w:hint="eastAsia" w:ascii="仿宋" w:hAnsi="仿宋" w:eastAsia="仿宋" w:cs="仿宋"/>
          <w:sz w:val="32"/>
          <w:szCs w:val="32"/>
          <w:shd w:val="clear" w:color="auto" w:fill="FFFFFF"/>
        </w:rPr>
        <w:t>（</w:t>
      </w:r>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）可持续影响。</w:t>
      </w:r>
      <w:r>
        <w:rPr>
          <w:rFonts w:hint="eastAsia" w:ascii="仿宋" w:hAnsi="仿宋" w:eastAsia="仿宋" w:cs="宋体"/>
          <w:sz w:val="32"/>
          <w:szCs w:val="32"/>
        </w:rPr>
        <w:t>提高广大人民群众防灾意识和抗灾能力，普及应急处置的相关知识，提升基层部门的社会治理能力</w:t>
      </w:r>
      <w:r>
        <w:rPr>
          <w:rFonts w:hint="eastAsia" w:ascii="仿宋" w:hAnsi="仿宋" w:eastAsia="仿宋" w:cs="宋体"/>
          <w:sz w:val="32"/>
          <w:szCs w:val="32"/>
          <w:lang w:eastAsia="zh-CN"/>
        </w:rPr>
        <w:t>。</w:t>
      </w:r>
      <w:bookmarkStart w:id="18" w:name="_Toc390096931"/>
      <w:bookmarkStart w:id="19" w:name="_Toc390267055"/>
      <w:bookmarkStart w:id="20" w:name="_Toc24241"/>
      <w:bookmarkStart w:id="21" w:name="_Toc12414"/>
    </w:p>
    <w:p w14:paraId="0350F889">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五、项目主要经验、存在的问题</w:t>
      </w:r>
      <w:bookmarkEnd w:id="18"/>
      <w:bookmarkEnd w:id="19"/>
      <w:r>
        <w:rPr>
          <w:rFonts w:hint="eastAsia" w:ascii="黑体" w:hAnsi="黑体" w:eastAsia="黑体" w:cs="黑体"/>
          <w:i w:val="0"/>
          <w:iCs w:val="0"/>
          <w:caps w:val="0"/>
          <w:color w:val="000000"/>
          <w:spacing w:val="0"/>
          <w:kern w:val="0"/>
          <w:sz w:val="32"/>
          <w:szCs w:val="32"/>
          <w:shd w:val="clear" w:fill="FFFFFF"/>
          <w:lang w:val="en-US" w:eastAsia="zh-CN" w:bidi="ar"/>
        </w:rPr>
        <w:t>及建议</w:t>
      </w:r>
      <w:bookmarkEnd w:id="20"/>
      <w:bookmarkEnd w:id="21"/>
    </w:p>
    <w:p w14:paraId="572AEDC1">
      <w:pPr>
        <w:keepNext w:val="0"/>
        <w:keepLines w:val="0"/>
        <w:pageBreakBefore w:val="0"/>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6" w:name="_GoBack"/>
      <w:bookmarkEnd w:id="26"/>
      <w:r>
        <w:rPr>
          <w:rFonts w:hint="eastAsia" w:ascii="楷体" w:hAnsi="楷体" w:eastAsia="楷体" w:cs="楷体"/>
          <w:b/>
          <w:bCs/>
          <w:i w:val="0"/>
          <w:iCs w:val="0"/>
          <w:caps w:val="0"/>
          <w:color w:val="000000"/>
          <w:spacing w:val="0"/>
          <w:kern w:val="0"/>
          <w:sz w:val="32"/>
          <w:szCs w:val="32"/>
          <w:shd w:val="clear" w:fill="FFFFFF"/>
          <w:lang w:val="en-US" w:eastAsia="zh-CN" w:bidi="ar"/>
        </w:rPr>
        <w:t>（一）项目主要经验及做法</w:t>
      </w:r>
    </w:p>
    <w:p w14:paraId="5A832F26">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iCs w:val="0"/>
          <w:caps w:val="0"/>
          <w:color w:val="000000"/>
          <w:spacing w:val="0"/>
          <w:kern w:val="0"/>
          <w:sz w:val="28"/>
          <w:szCs w:val="28"/>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2025年，我局以绩效目标实现为导向，进一步加强制度建设，提升自评质量，预算绩效管理取得新成效。一是绩效目标编制，及时报送绩效目标。二是对专项活动开展情况绩效过程进行跟踪监控。三是健全绩效管理工作机制，明确分工，努力提高绩效管理工作水平</w:t>
      </w:r>
      <w:r>
        <w:rPr>
          <w:rFonts w:hint="eastAsia" w:ascii="仿宋" w:hAnsi="仿宋" w:eastAsia="仿宋" w:cs="仿宋"/>
          <w:b w:val="0"/>
          <w:bCs w:val="0"/>
          <w:i w:val="0"/>
          <w:iCs w:val="0"/>
          <w:caps w:val="0"/>
          <w:color w:val="000000"/>
          <w:spacing w:val="0"/>
          <w:kern w:val="0"/>
          <w:sz w:val="28"/>
          <w:szCs w:val="28"/>
          <w:shd w:val="clear" w:fill="FFFFFF"/>
          <w:lang w:val="en-US" w:eastAsia="zh-CN" w:bidi="ar"/>
        </w:rPr>
        <w:t>。</w:t>
      </w:r>
      <w:bookmarkStart w:id="22" w:name="_Toc2597"/>
      <w:bookmarkStart w:id="23" w:name="_Toc6772"/>
    </w:p>
    <w:p w14:paraId="064CFEC0">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存在的问题</w:t>
      </w:r>
      <w:bookmarkEnd w:id="22"/>
      <w:bookmarkEnd w:id="23"/>
      <w:bookmarkStart w:id="24" w:name="_Toc16271"/>
      <w:bookmarkStart w:id="25" w:name="_Toc29278"/>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p>
    <w:p w14:paraId="0FC0532C">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 xml:space="preserve">  无。 </w:t>
      </w:r>
    </w:p>
    <w:p w14:paraId="3CEF363C">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有关建议</w:t>
      </w:r>
      <w:bookmarkEnd w:id="24"/>
      <w:bookmarkEnd w:id="25"/>
    </w:p>
    <w:p w14:paraId="15B2F5CA">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 xml:space="preserve"> 无。</w:t>
      </w:r>
    </w:p>
    <w:p w14:paraId="26CAE633"/>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849EF8-D7C5-4F0B-839C-E613005AD4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07A9977-6EA9-467E-BB70-6F39908B842D}"/>
  </w:font>
  <w:font w:name="方正小标宋_GBK">
    <w:panose1 w:val="02000000000000000000"/>
    <w:charset w:val="86"/>
    <w:family w:val="auto"/>
    <w:pitch w:val="default"/>
    <w:sig w:usb0="A00002BF" w:usb1="38CF7CFA" w:usb2="00082016" w:usb3="00000000" w:csb0="00040001" w:csb1="00000000"/>
    <w:embedRegular r:id="rId3" w:fontKey="{DC154479-0B9E-4D89-A20A-3D5740B402AB}"/>
  </w:font>
  <w:font w:name="楷体">
    <w:panose1 w:val="02010609060101010101"/>
    <w:charset w:val="86"/>
    <w:family w:val="auto"/>
    <w:pitch w:val="default"/>
    <w:sig w:usb0="800002BF" w:usb1="38CF7CFA" w:usb2="00000016" w:usb3="00000000" w:csb0="00040001" w:csb1="00000000"/>
    <w:embedRegular r:id="rId4" w:fontKey="{5006D0A9-C57A-44BE-AB3F-C5898485CDE9}"/>
  </w:font>
  <w:font w:name="仿宋_GB2312">
    <w:panose1 w:val="02010609030101010101"/>
    <w:charset w:val="86"/>
    <w:family w:val="auto"/>
    <w:pitch w:val="default"/>
    <w:sig w:usb0="00000001" w:usb1="080E0000" w:usb2="00000000" w:usb3="00000000" w:csb0="00040000" w:csb1="00000000"/>
    <w:embedRegular r:id="rId5" w:fontKey="{3A6CE40B-47BD-4062-88AC-5E1C07FC418D}"/>
  </w:font>
  <w:font w:name="仿宋">
    <w:panose1 w:val="02010609060101010101"/>
    <w:charset w:val="86"/>
    <w:family w:val="auto"/>
    <w:pitch w:val="default"/>
    <w:sig w:usb0="800002BF" w:usb1="38CF7CFA" w:usb2="00000016" w:usb3="00000000" w:csb0="00040001" w:csb1="00000000"/>
    <w:embedRegular r:id="rId6" w:fontKey="{8168AB96-50A4-4BD7-94D3-6451E4D169DC}"/>
  </w:font>
  <w:font w:name="方正仿宋_GB2312">
    <w:altName w:val="仿宋"/>
    <w:panose1 w:val="02000000000000000000"/>
    <w:charset w:val="86"/>
    <w:family w:val="auto"/>
    <w:pitch w:val="default"/>
    <w:sig w:usb0="00000000" w:usb1="00000000" w:usb2="00000012" w:usb3="00000000" w:csb0="00040001" w:csb1="00000000"/>
    <w:embedRegular r:id="rId7" w:fontKey="{30786BF1-B85F-4FF4-A897-D17E5000FBD7}"/>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657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FB512"/>
    <w:multiLevelType w:val="singleLevel"/>
    <w:tmpl w:val="5C9FB51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332F9"/>
    <w:rsid w:val="0E6429C0"/>
    <w:rsid w:val="206B4E99"/>
    <w:rsid w:val="231C59A9"/>
    <w:rsid w:val="24816407"/>
    <w:rsid w:val="25665261"/>
    <w:rsid w:val="25B84970"/>
    <w:rsid w:val="25EC61C5"/>
    <w:rsid w:val="29850BB9"/>
    <w:rsid w:val="2AE53556"/>
    <w:rsid w:val="2DF10E9D"/>
    <w:rsid w:val="30850AA8"/>
    <w:rsid w:val="34814B30"/>
    <w:rsid w:val="3B541666"/>
    <w:rsid w:val="4633534B"/>
    <w:rsid w:val="48565279"/>
    <w:rsid w:val="48A37CB9"/>
    <w:rsid w:val="4AD2721F"/>
    <w:rsid w:val="4D4941DA"/>
    <w:rsid w:val="50B861E1"/>
    <w:rsid w:val="52582329"/>
    <w:rsid w:val="5BBB130B"/>
    <w:rsid w:val="660D01E6"/>
    <w:rsid w:val="665B137A"/>
    <w:rsid w:val="67523E91"/>
    <w:rsid w:val="68642A54"/>
    <w:rsid w:val="6B8303F3"/>
    <w:rsid w:val="6B977093"/>
    <w:rsid w:val="6C460131"/>
    <w:rsid w:val="725A00AC"/>
    <w:rsid w:val="72827F6B"/>
    <w:rsid w:val="729F1A9A"/>
    <w:rsid w:val="7616334A"/>
    <w:rsid w:val="76700A2F"/>
    <w:rsid w:val="76D85607"/>
    <w:rsid w:val="77162EED"/>
    <w:rsid w:val="78845E65"/>
    <w:rsid w:val="793B4DF1"/>
    <w:rsid w:val="7A3E3225"/>
    <w:rsid w:val="7E550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spacing w:beforeLines="0" w:afterLines="0"/>
      <w:ind w:firstLine="640" w:firstLineChars="200"/>
    </w:pPr>
    <w:rPr>
      <w:rFonts w:hint="default"/>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2"/>
    <w:unhideWhenUsed/>
    <w:qFormat/>
    <w:uiPriority w:val="99"/>
    <w:pPr>
      <w:spacing w:beforeLines="0" w:afterLines="0"/>
      <w:ind w:firstLine="420"/>
    </w:pPr>
    <w:rPr>
      <w:rFonts w:hint="default"/>
      <w:sz w:val="32"/>
    </w:rPr>
  </w:style>
  <w:style w:type="paragraph" w:customStyle="1" w:styleId="8">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2518</Words>
  <Characters>2635</Characters>
  <Lines>0</Lines>
  <Paragraphs>0</Paragraphs>
  <TotalTime>0</TotalTime>
  <ScaleCrop>false</ScaleCrop>
  <LinksUpToDate>false</LinksUpToDate>
  <CharactersWithSpaces>2641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2025-02-17T08:53:00Z</dcterms:created>
  <dc:creator>Administrator</dc:creator>
  <cp:lastModifiedBy>浅水浮香</cp:lastModifiedBy>
  <dcterms:modified xsi:type="dcterms:W3CDTF">2026-09-18T01:43:32Z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eyJoZGlkIjoiYzAxN2I4ODU2MDNjNzQ1N2M3NzRhMmY1ODY3MGE4M2MiLCJ1c2VySWQiOiI0MjE4NzQ4MjgifQ==</vt:lpwstr>
  </property>
  <property fmtid="{D5CDD505-2E9C-101B-9397-08002B2CF9AE}" pid="4" name="ICV">
    <vt:lpwstr>727097A6A05647B9A2AC6A0A56E6A72C_12</vt:lpwstr>
  </property>
</Properties>
</file>