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旅游规划编制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1F1BAB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02199B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：2025年财政预算安排</w:t>
      </w:r>
    </w:p>
    <w:p w14:paraId="2C8F56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：洞庭溪特大桥规划编制、二酉山创建国家4A级景区旅游提升规划编制</w:t>
      </w:r>
    </w:p>
    <w:p w14:paraId="2BA6065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：沅陵县文旅广体局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544326C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2025年财政下达我局旅游规划编制资金 40万元，资金来源为财政资金，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2A692D5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（2）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资金到位情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况：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旅游规划编制服务项目专项资金40万元，全部为财政资金，资金到位率100%。</w:t>
      </w:r>
    </w:p>
    <w:p w14:paraId="6FAE035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（3）资金使用情况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Times New Roman" w:hAnsi="Times New Roman" w:eastAsia="仿宋_GB2312"/>
          <w:sz w:val="32"/>
          <w:szCs w:val="32"/>
        </w:rPr>
        <w:t>1.资金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拨付合规性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资金拨付符合国库集中支付制度，专款专用等规定，拨付流程规范。</w:t>
      </w:r>
      <w:r>
        <w:rPr>
          <w:rFonts w:hint="eastAsia" w:ascii="Times New Roman" w:hAnsi="Times New Roman" w:eastAsia="仿宋_GB2312"/>
          <w:sz w:val="32"/>
          <w:szCs w:val="32"/>
        </w:rPr>
        <w:t>2.使用规范性：严格按照预算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安排，专项管理</w:t>
      </w:r>
      <w:r>
        <w:rPr>
          <w:rFonts w:hint="eastAsia" w:ascii="Times New Roman" w:hAnsi="Times New Roman" w:eastAsia="仿宋_GB2312"/>
          <w:sz w:val="32"/>
          <w:szCs w:val="32"/>
        </w:rPr>
        <w:t>，不存在截留、挤占、挪用或擅自调整等问题；3.执行准确性：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规划编制服务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专项资金</w:t>
      </w:r>
      <w:r>
        <w:rPr>
          <w:rFonts w:hint="eastAsia" w:ascii="Times New Roman" w:hAnsi="Times New Roman" w:eastAsia="仿宋_GB2312"/>
          <w:sz w:val="32"/>
          <w:szCs w:val="32"/>
        </w:rPr>
        <w:t>执行率100%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6E0DB9E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）资金管理制度及执行情况</w:t>
      </w:r>
    </w:p>
    <w:p w14:paraId="02E90CF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根据专项资金实际使用情况，对专项资金开展绩效自评，在资金使用上，我局严格执行专项资金管理制度，实行专款专用，无挪用专项资金问题。规划编制服务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专项资金40万元，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年12月底，项目资金已使用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</w:p>
    <w:p w14:paraId="67786FA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2.项目组织实施管理情况</w:t>
      </w:r>
    </w:p>
    <w:p w14:paraId="51BE19E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项目实施前制定资金管理制定，有明确的资金分配及流程，在施工中，项目管理人员随时到实地查看工程进度、检查施工质量和安全隐患等，项目完工及时组织验收、验收合格且资料齐全后支付项目资金。</w:t>
      </w:r>
    </w:p>
    <w:p w14:paraId="297B8CD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2CA4AD0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:规划编制项目2个。洞庭溪特大桥规划编制、二酉山创建国家4A级景区旅游提升规划编制。</w:t>
      </w:r>
    </w:p>
    <w:p w14:paraId="24C1788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（一）成本指标：①经济成本指标，规划编制成本40万元，②社会成本指标：社会成本节约率0，③生态环境成本指标：生态环境成本节约率0。（二）产出指标：①数量指标：编制项目2个。②质量指标 旅游规划项目编制通过。③时效指标：完成及时性，2025年12月31日。（三）效益指标：①经济效益指标 提高专项资金使用效益。②社会效益指标：提升文旅产业核心竞争力，推动景区高质量发。③生态效益指标：改善文化旅游宣传环境。④可持续影响指标：持续推动我县旅游产业发展。（四）满意度指标：服务对象满意率90以上。</w:t>
      </w:r>
    </w:p>
    <w:p w14:paraId="591F70E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6D93391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  <w:bookmarkStart w:id="1" w:name="_Toc11844"/>
    </w:p>
    <w:p w14:paraId="7CFFE35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在于强化绩效理念，提高部门履职能力。</w:t>
      </w:r>
    </w:p>
    <w:p w14:paraId="54327DD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  <w:bookmarkStart w:id="2" w:name="_Toc31835"/>
    </w:p>
    <w:p w14:paraId="4672CB2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专项绩效评价单位是本单位，评价范围是对2025年洞庭溪特大桥及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二酉山创建国家4A级景区旅游提升规划编制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项目工作开展情况进行评价。</w:t>
      </w:r>
    </w:p>
    <w:p w14:paraId="76E268B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  <w:bookmarkStart w:id="3" w:name="_Toc7615"/>
      <w:bookmarkStart w:id="4" w:name="_Toc32076"/>
    </w:p>
    <w:p w14:paraId="1545532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5C8FC61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547A679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推动文旅行业营商环境优化</w:t>
      </w:r>
    </w:p>
    <w:p w14:paraId="3B991BF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推动生态旅游建设</w:t>
      </w:r>
    </w:p>
    <w:p w14:paraId="153AC45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增强全县的文化软实力和品牌影响力。</w:t>
      </w:r>
    </w:p>
    <w:p w14:paraId="6071B26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群众满意度大于90%以上。</w:t>
      </w:r>
    </w:p>
    <w:p w14:paraId="1B2938D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2025年单位2个规划编制工作任务已完成，目标责任履职情况良好,专项绩效自评综合得分为100分。</w:t>
      </w:r>
      <w:bookmarkStart w:id="5" w:name="_Toc16332"/>
      <w:bookmarkStart w:id="6" w:name="_Toc27541"/>
    </w:p>
    <w:p w14:paraId="3154ABB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  <w:bookmarkStart w:id="7" w:name="_Toc17679"/>
    </w:p>
    <w:p w14:paraId="74D299D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前期准备：准备自评资料并保证完整性、及时性、真实性、佐证材料的准备、材料质量等要求。2、组织实施：包括布置、审核、检查等情况存在的问题及有关意见及建议。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</w:p>
    <w:p w14:paraId="2FCDC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014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我局严格执行专项资金管理制度，专项专用，提高专项资金使用效益。</w:t>
      </w:r>
    </w:p>
    <w:p w14:paraId="24F4F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12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</w:p>
    <w:p w14:paraId="5F69A43C">
      <w:pPr>
        <w:widowControl/>
        <w:shd w:val="clear" w:color="auto" w:fill="FFFFFF"/>
        <w:spacing w:line="510" w:lineRule="atLeast"/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62DC1AFE">
      <w:pPr>
        <w:widowControl/>
        <w:shd w:val="clear" w:color="auto" w:fill="FFFFFF"/>
        <w:spacing w:line="510" w:lineRule="atLeast"/>
        <w:ind w:firstLine="707" w:firstLineChars="221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项目招投标方面，凡是单个项目采购金额达到采购标准的，均依法采用公开招投标方式组织项目实施；一般情况下，不进行项目调整，确需要调整的，均依照财政部门规定，按照程序报批后方予以调整；所有项目竣工验收等工作，均由业务股室按照规定程序进行，验收完成后财务方开展报账和支付工作。</w:t>
      </w:r>
    </w:p>
    <w:p w14:paraId="4AD160B9">
      <w:pPr>
        <w:pStyle w:val="8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7D695F0C">
      <w:pPr>
        <w:ind w:firstLine="627" w:firstLineChars="196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管理人员进行监督。</w:t>
      </w:r>
    </w:p>
    <w:p w14:paraId="542B0D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1"/>
    </w:p>
    <w:p w14:paraId="28760B6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2074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：规划编制项目2个，洞庭溪特大桥规划编制、二酉山创建国家4A级景区旅游提升规划编制。</w:t>
      </w:r>
      <w:bookmarkStart w:id="13" w:name="_Toc5372"/>
    </w:p>
    <w:p w14:paraId="7034C72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bookmarkStart w:id="14" w:name="_Toc25948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规划编制方案通过</w:t>
      </w:r>
    </w:p>
    <w:p w14:paraId="577F5FF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bookmarkStart w:id="15" w:name="_Toc21477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项目成本支出控制在预算范围内支出</w:t>
      </w:r>
    </w:p>
    <w:p w14:paraId="316294C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bookmarkStart w:id="16" w:name="_Toc3072"/>
      <w:bookmarkStart w:id="17" w:name="_Toc12690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2025年12月31日完成，完成。</w:t>
      </w:r>
    </w:p>
    <w:p w14:paraId="5FD74AD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  <w:bookmarkStart w:id="18" w:name="_Toc390267055"/>
      <w:bookmarkStart w:id="19" w:name="_Toc390096931"/>
      <w:bookmarkStart w:id="20" w:name="_Toc12414"/>
      <w:bookmarkStart w:id="21" w:name="_Toc24241"/>
    </w:p>
    <w:p w14:paraId="341DBAD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1、项目经济性分析</w:t>
      </w:r>
    </w:p>
    <w:p w14:paraId="0B95275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（1）项目成本（预算）控制情况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项目成本控制在预算范围之内，可控制。</w:t>
      </w:r>
      <w:r>
        <w:rPr>
          <w:rFonts w:hint="eastAsia" w:ascii="仿宋" w:hAnsi="仿宋" w:eastAsia="仿宋" w:cs="仿宋"/>
          <w:sz w:val="32"/>
          <w:szCs w:val="32"/>
        </w:rPr>
        <w:t>（2）项目成本（预算）节约情况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按照合同金额支付项目款</w:t>
      </w:r>
    </w:p>
    <w:p w14:paraId="3C1BB26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2、项目的效率性分析</w:t>
      </w:r>
    </w:p>
    <w:p w14:paraId="253DE80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color w:val="3D3D3D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（1）项目的实施进度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所有项目于202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年年底全部完成。</w:t>
      </w:r>
      <w:r>
        <w:rPr>
          <w:rFonts w:hint="eastAsia" w:ascii="仿宋" w:hAnsi="仿宋" w:eastAsia="仿宋" w:cs="仿宋"/>
          <w:sz w:val="32"/>
          <w:szCs w:val="32"/>
        </w:rPr>
        <w:t>（2）项目完成质量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旅游规划编制项目评审通过</w:t>
      </w:r>
      <w:r>
        <w:rPr>
          <w:rFonts w:hint="eastAsia" w:ascii="仿宋" w:hAnsi="仿宋" w:eastAsia="仿宋" w:cs="仿宋"/>
          <w:color w:val="3D3D3D"/>
          <w:sz w:val="32"/>
          <w:szCs w:val="32"/>
          <w:lang w:eastAsia="zh-CN"/>
        </w:rPr>
        <w:t>。</w:t>
      </w:r>
    </w:p>
    <w:p w14:paraId="5398BAC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3、项目的效益性分析</w:t>
      </w:r>
    </w:p>
    <w:p w14:paraId="1533AD4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（1）项目预期目标完成程度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按照项目既定目标，基本完成。</w:t>
      </w:r>
      <w:r>
        <w:rPr>
          <w:rFonts w:hint="eastAsia" w:ascii="仿宋" w:hAnsi="仿宋" w:eastAsia="仿宋" w:cs="仿宋"/>
          <w:sz w:val="32"/>
          <w:szCs w:val="32"/>
        </w:rPr>
        <w:t>（2）项目实施对经济和社会的影响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提高专项资金使用效益。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增强全县的文化软实力和品牌影响力。</w:t>
      </w:r>
    </w:p>
    <w:p w14:paraId="288033D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  <w:bookmarkStart w:id="22" w:name="_Toc23434"/>
      <w:bookmarkStart w:id="23" w:name="_Toc5316"/>
    </w:p>
    <w:p w14:paraId="5ABA62C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3"/>
      <w:bookmarkStart w:id="24" w:name="_Toc2597"/>
      <w:bookmarkStart w:id="25" w:name="_Toc6772"/>
    </w:p>
    <w:p w14:paraId="5A832F2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，我局以绩效目标实现为导向，进一步加强制度建设，提升自评质量，预算绩效管理取得新成效。一是绩效目标编制，及时报送绩效目标。二是对专项活动开展情况绩效过程进行跟踪监控。三是健全绩效管理工作机制，明确分工，努力提高绩效管理工作水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。</w:t>
      </w:r>
    </w:p>
    <w:bookmarkEnd w:id="24"/>
    <w:bookmarkEnd w:id="25"/>
    <w:p w14:paraId="064CFE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Start w:id="26" w:name="_Toc29278"/>
      <w:bookmarkStart w:id="27" w:name="_Toc1627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0FC053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35302D7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6"/>
      <w:bookmarkEnd w:id="27"/>
    </w:p>
    <w:p w14:paraId="15B2F5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39ECD423">
      <w:bookmarkStart w:id="28" w:name="_GoBack"/>
      <w:bookmarkEnd w:id="28"/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EE58FD-E00E-42AF-86CF-2F1B1D087B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330F936-9CD3-4726-8074-C36AEC5EE31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0362236-1EB0-4246-959D-ED0F388173B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FE612C7-6D62-458C-9D3F-2845D50AD55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4FE73B49-969A-4BDD-8C63-719869F5D6D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70B7717C-1FD4-4836-9E91-C88CA497CD01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9D3059FE-07DC-4EFF-8DCC-019E86A0E3E6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F79C7"/>
    <w:rsid w:val="03094B07"/>
    <w:rsid w:val="0343766A"/>
    <w:rsid w:val="0AE578F1"/>
    <w:rsid w:val="0BAD586B"/>
    <w:rsid w:val="0BAF4DBB"/>
    <w:rsid w:val="0CB332F9"/>
    <w:rsid w:val="12E06408"/>
    <w:rsid w:val="162053E2"/>
    <w:rsid w:val="1887214B"/>
    <w:rsid w:val="1A2B3296"/>
    <w:rsid w:val="1C1C4001"/>
    <w:rsid w:val="25665261"/>
    <w:rsid w:val="289E31B0"/>
    <w:rsid w:val="2A9F6179"/>
    <w:rsid w:val="2B745B54"/>
    <w:rsid w:val="33030EB6"/>
    <w:rsid w:val="342E7F66"/>
    <w:rsid w:val="358E506D"/>
    <w:rsid w:val="35A0071E"/>
    <w:rsid w:val="35CB54E3"/>
    <w:rsid w:val="3ABD5C6F"/>
    <w:rsid w:val="42573B1C"/>
    <w:rsid w:val="43CA64E9"/>
    <w:rsid w:val="44BB3F4E"/>
    <w:rsid w:val="44CF38F6"/>
    <w:rsid w:val="46BB5C1A"/>
    <w:rsid w:val="4FFC64EE"/>
    <w:rsid w:val="51720099"/>
    <w:rsid w:val="55FD7BA1"/>
    <w:rsid w:val="5C887EE6"/>
    <w:rsid w:val="660E30B6"/>
    <w:rsid w:val="6B400C03"/>
    <w:rsid w:val="6CC9302E"/>
    <w:rsid w:val="6F826EEA"/>
    <w:rsid w:val="726760BC"/>
    <w:rsid w:val="752E3028"/>
    <w:rsid w:val="75A63F90"/>
    <w:rsid w:val="7AD46F6B"/>
    <w:rsid w:val="7C11491A"/>
    <w:rsid w:val="7DBD5C5A"/>
    <w:rsid w:val="7F89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styleId="8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2093</Words>
  <Characters>2164</Characters>
  <Lines>0</Lines>
  <Paragraphs>0</Paragraphs>
  <TotalTime>0</TotalTime>
  <ScaleCrop>false</ScaleCrop>
  <LinksUpToDate>false</LinksUpToDate>
  <CharactersWithSpaces>2169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