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08F5A4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480" w:lineRule="atLeast"/>
        <w:ind w:left="0" w:right="0" w:firstLine="0"/>
        <w:jc w:val="center"/>
        <w:rPr>
          <w:rFonts w:hint="eastAsia" w:ascii="方正小标宋_GBK" w:hAnsi="方正小标宋_GBK" w:eastAsia="方正小标宋_GBK" w:cs="方正小标宋_GBK"/>
          <w:i w:val="0"/>
          <w:iCs w:val="0"/>
          <w:caps w:val="0"/>
          <w:smallCaps w:val="0"/>
          <w:color w:val="000000"/>
          <w:spacing w:val="0"/>
          <w:sz w:val="24"/>
          <w:szCs w:val="24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smallCaps w:val="0"/>
          <w:color w:val="000000"/>
          <w:spacing w:val="0"/>
          <w:sz w:val="44"/>
          <w:szCs w:val="44"/>
          <w:shd w:val="clear" w:color="auto" w:fill="FFFFFF"/>
        </w:rPr>
        <w:t>项目支出绩效自评报告</w:t>
      </w:r>
    </w:p>
    <w:p w14:paraId="6C9AB928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right="0" w:firstLine="640" w:firstLineChars="20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smallCaps w:val="0"/>
          <w:color w:val="000000"/>
          <w:spacing w:val="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 </w:t>
      </w:r>
      <w:r>
        <w:rPr>
          <w:rFonts w:hint="eastAsia" w:ascii="黑体" w:hAnsi="黑体" w:eastAsia="黑体" w:cs="黑体"/>
          <w:i w:val="0"/>
          <w:iCs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一、项目基本情况</w:t>
      </w:r>
    </w:p>
    <w:p w14:paraId="7FC89E4D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3" w:firstLineChars="200"/>
        <w:jc w:val="both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（一）项目概况</w:t>
      </w:r>
    </w:p>
    <w:p w14:paraId="08F941A2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eastAsia" w:ascii="仿宋_GB2312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1.</w:t>
      </w:r>
      <w:r>
        <w:rPr>
          <w:rFonts w:hint="eastAsia" w:ascii="仿宋_GB2312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项目单位基本情况</w:t>
      </w:r>
    </w:p>
    <w:p w14:paraId="0A5214C3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ascii="仿宋_GB2312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ascii="仿宋_GB2312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陈家滩乡人民政府办公地址位于陈家滩乡集镇，是财政全额拨款行政单位，主要负责社会治安综合治理、社会稳定；负责环境卫生、路政设施等工作；乡村规划建设管理和服务、经济建设、农业发展规划与技术推广等。</w:t>
      </w:r>
    </w:p>
    <w:p w14:paraId="0D461556">
      <w:pPr>
        <w:pStyle w:val="8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right="0" w:firstLine="640" w:firstLineChars="200"/>
        <w:jc w:val="both"/>
        <w:textAlignment w:val="auto"/>
        <w:rPr>
          <w:rFonts w:hint="eastAsia" w:ascii="仿宋_GB2312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项目</w:t>
      </w:r>
      <w:r>
        <w:rPr>
          <w:rFonts w:hint="eastAsia" w:ascii="仿宋_GB2312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实施依据</w:t>
      </w:r>
    </w:p>
    <w:p w14:paraId="0BC19486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right="0" w:firstLine="640" w:firstLineChars="200"/>
        <w:jc w:val="left"/>
        <w:textAlignment w:val="auto"/>
        <w:rPr>
          <w:rFonts w:ascii="仿宋_GB2312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ascii="仿宋_GB2312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按照沅陵县</w:t>
      </w:r>
      <w:r>
        <w:rPr>
          <w:rFonts w:hint="eastAsia" w:ascii="仿宋_GB2312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财政</w:t>
      </w:r>
      <w:r>
        <w:rPr>
          <w:rFonts w:ascii="仿宋_GB2312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局</w:t>
      </w:r>
      <w:r>
        <w:rPr>
          <w:rFonts w:hint="eastAsia" w:ascii="仿宋_GB2312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，沅陵县农业农村局</w:t>
      </w:r>
      <w:r>
        <w:rPr>
          <w:rFonts w:ascii="仿宋_GB2312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等单位的相关政策文件规定，严格按照项目计划，拨付资金严格执行县财政集中支付相关规定。</w:t>
      </w:r>
    </w:p>
    <w:p w14:paraId="545E1927">
      <w:pPr>
        <w:pStyle w:val="8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right="0" w:firstLine="640" w:firstLineChars="200"/>
        <w:jc w:val="both"/>
        <w:textAlignment w:val="auto"/>
        <w:rPr>
          <w:rFonts w:hint="eastAsia" w:ascii="仿宋_GB2312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项目</w:t>
      </w:r>
      <w:r>
        <w:rPr>
          <w:rFonts w:hint="eastAsia" w:ascii="仿宋_GB2312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基本性质、用途及主要内容、涉及范围</w:t>
      </w:r>
    </w:p>
    <w:p w14:paraId="7F2F6DC9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right="0" w:firstLine="640" w:firstLineChars="200"/>
        <w:jc w:val="both"/>
        <w:textAlignment w:val="auto"/>
        <w:rPr>
          <w:rFonts w:ascii="仿宋_GB2312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ascii="仿宋_GB2312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项目支出共494.96万元，其中</w:t>
      </w:r>
      <w:r>
        <w:rPr>
          <w:rFonts w:hint="eastAsia" w:ascii="仿宋_GB2312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巩固脱贫攻坚成果衔接乡村振兴</w:t>
      </w:r>
      <w:r>
        <w:rPr>
          <w:rFonts w:ascii="仿宋_GB2312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项目332.57万元</w:t>
      </w:r>
      <w:r>
        <w:rPr>
          <w:rFonts w:hint="eastAsia" w:ascii="仿宋_GB2312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，2025年乡镇村居生态环保运行维护</w:t>
      </w:r>
      <w:r>
        <w:rPr>
          <w:rFonts w:ascii="仿宋_GB2312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102.79</w:t>
      </w:r>
      <w:r>
        <w:rPr>
          <w:rFonts w:hint="eastAsia" w:ascii="仿宋_GB2312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万元</w:t>
      </w:r>
      <w:r>
        <w:rPr>
          <w:rFonts w:ascii="仿宋_GB2312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，</w:t>
      </w:r>
      <w:r>
        <w:rPr>
          <w:rFonts w:hint="eastAsia" w:ascii="仿宋_GB2312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2025年村级运转经费</w:t>
      </w:r>
      <w:r>
        <w:rPr>
          <w:rFonts w:ascii="仿宋_GB2312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59.60</w:t>
      </w:r>
      <w:r>
        <w:rPr>
          <w:rFonts w:hint="eastAsia" w:ascii="仿宋_GB2312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万元，各项目资金</w:t>
      </w:r>
      <w:r>
        <w:rPr>
          <w:rFonts w:ascii="仿宋_GB2312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主要用于</w:t>
      </w:r>
      <w:r>
        <w:rPr>
          <w:rFonts w:hint="eastAsia" w:ascii="仿宋_GB2312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促进</w:t>
      </w:r>
      <w:r>
        <w:rPr>
          <w:rFonts w:ascii="仿宋_GB2312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乡村的振兴</w:t>
      </w:r>
      <w:r>
        <w:rPr>
          <w:rFonts w:hint="eastAsia" w:ascii="仿宋_GB2312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、环境整治、</w:t>
      </w:r>
      <w:r>
        <w:rPr>
          <w:rFonts w:ascii="仿宋_GB2312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基础设施建设和大型修缮。</w:t>
      </w:r>
    </w:p>
    <w:p w14:paraId="351F00B6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3" w:firstLineChars="200"/>
        <w:jc w:val="both"/>
        <w:textAlignment w:val="auto"/>
        <w:rPr>
          <w:rFonts w:ascii="楷体" w:hAnsi="楷体" w:eastAsia="楷体" w:cs="楷体"/>
          <w:b/>
          <w:bCs/>
          <w:i w:val="0"/>
          <w:iCs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</w:pPr>
      <w:r>
        <w:rPr>
          <w:rFonts w:ascii="楷体" w:hAnsi="楷体" w:eastAsia="楷体" w:cs="楷体"/>
          <w:b/>
          <w:bCs/>
          <w:i w:val="0"/>
          <w:iCs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（二）预算资金使用管理情况</w:t>
      </w:r>
    </w:p>
    <w:p w14:paraId="21FA73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outlineLvl w:val="1"/>
        <w:rPr>
          <w:rFonts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bookmarkStart w:id="0" w:name="_Toc10810"/>
      <w:r>
        <w:rPr>
          <w:rFonts w:hint="eastAsia"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1.预算资金安排及管理情况</w:t>
      </w:r>
      <w:bookmarkEnd w:id="0"/>
    </w:p>
    <w:p w14:paraId="447B8ED2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（</w:t>
      </w:r>
      <w:r>
        <w:rPr>
          <w:rFonts w:hint="eastAsia" w:ascii="仿宋_GB2312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1</w:t>
      </w:r>
      <w:r>
        <w:rPr>
          <w:rFonts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）资金到位情况</w:t>
      </w:r>
    </w:p>
    <w:p w14:paraId="16DDACB6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财政按照专项工作的开展程度，及时保障了项目资金的 申请及拨付，确保了专项工作的顺利进行。</w:t>
      </w:r>
    </w:p>
    <w:p w14:paraId="620C7398">
      <w:pPr>
        <w:pStyle w:val="8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right="0" w:firstLine="640" w:firstLineChars="200"/>
        <w:jc w:val="both"/>
        <w:textAlignment w:val="auto"/>
        <w:rPr>
          <w:rFonts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资金使用情况</w:t>
      </w:r>
    </w:p>
    <w:p w14:paraId="71BB3CB9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right="0" w:firstLine="640" w:firstLineChars="200"/>
        <w:jc w:val="both"/>
        <w:textAlignment w:val="auto"/>
        <w:rPr>
          <w:rFonts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项目资金严格按照项目进度及完成情况进行资金的拨付，有完整的审批程序和手续；不存在截留、挤占、挪用、虚列支出等情况。</w:t>
      </w:r>
    </w:p>
    <w:p w14:paraId="32F9AFF4">
      <w:pPr>
        <w:pStyle w:val="8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right="0" w:firstLine="640" w:firstLineChars="200"/>
        <w:jc w:val="both"/>
        <w:textAlignment w:val="auto"/>
        <w:rPr>
          <w:rFonts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资金管理制度及执行情况</w:t>
      </w:r>
    </w:p>
    <w:p w14:paraId="2C357FE6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right="0" w:firstLine="640" w:firstLineChars="200"/>
        <w:jc w:val="both"/>
        <w:textAlignment w:val="auto"/>
        <w:rPr>
          <w:rFonts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严格按照相应的业务管理制度，规范各项经费的开支。资金使用规范，符合国家财经法规和财务管理以及有关专项资金管理办法的规定；会计核算准确、财务资料完整。</w:t>
      </w:r>
    </w:p>
    <w:p w14:paraId="4BE7152D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2</w:t>
      </w:r>
      <w:r>
        <w:rPr>
          <w:rFonts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.项目组织实施管理情况</w:t>
      </w:r>
    </w:p>
    <w:p w14:paraId="454A505B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由党委政府牵头，书记为第一责任人，切实落实好项目的管理，财务分管领导负责日常项目管理。组织财</w:t>
      </w:r>
      <w:r>
        <w:rPr>
          <w:rFonts w:hint="eastAsia" w:ascii="仿宋_GB2312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务</w:t>
      </w:r>
      <w:r>
        <w:rPr>
          <w:rFonts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部门</w:t>
      </w:r>
      <w:r>
        <w:rPr>
          <w:rFonts w:hint="eastAsia" w:ascii="仿宋_GB2312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、</w:t>
      </w:r>
      <w:r>
        <w:rPr>
          <w:rFonts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乡村振兴部门</w:t>
      </w:r>
      <w:r>
        <w:rPr>
          <w:rFonts w:hint="eastAsia" w:ascii="仿宋_GB2312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以及项目部门</w:t>
      </w:r>
      <w:r>
        <w:rPr>
          <w:rFonts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互相合作协调工作，共同完成乡村振兴项目。</w:t>
      </w:r>
    </w:p>
    <w:p w14:paraId="7CFF5687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3" w:firstLineChars="200"/>
        <w:jc w:val="both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（三）预算绩效目标情况</w:t>
      </w:r>
    </w:p>
    <w:p w14:paraId="4141AE06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1.绩效目标</w:t>
      </w:r>
      <w:r>
        <w:rPr>
          <w:rFonts w:hint="eastAsia" w:ascii="仿宋_GB2312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及阶段性目标</w:t>
      </w:r>
    </w:p>
    <w:p w14:paraId="58F590E6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eastAsia"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绩效总目标围绕美丽乡村建设，科学编制村庄规划；全面改善人居环境，深化“清洁乡村”行动；大力培育美丽产业，发展特色产业；积极推进农村人文建设以及农村公共服务水平，阶段性目标先建设建立几个乡村振兴示范村。</w:t>
      </w:r>
    </w:p>
    <w:p w14:paraId="7011AA69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eastAsia"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2、预期主要的生态、社会和经济效益</w:t>
      </w:r>
    </w:p>
    <w:p w14:paraId="048803FF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eastAsia"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提高乡村生态环境，带动乡村社会与经济的振兴，提供大量的就业机会，建设新时代新农村。</w:t>
      </w:r>
    </w:p>
    <w:p w14:paraId="2A5BEAF6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/>
        <w:textAlignment w:val="auto"/>
        <w:rPr>
          <w:rFonts w:hint="eastAsia" w:ascii="黑体" w:hAnsi="黑体" w:eastAsia="黑体" w:cs="黑体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</w:p>
    <w:p w14:paraId="34AD47E8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/>
        <w:textAlignment w:val="auto"/>
        <w:rPr>
          <w:rFonts w:hint="eastAsia" w:ascii="黑体" w:hAnsi="黑体" w:eastAsia="黑体" w:cs="黑体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</w:p>
    <w:p w14:paraId="3F7162C5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/>
        <w:textAlignment w:val="auto"/>
        <w:rPr>
          <w:rFonts w:hint="eastAsia" w:ascii="黑体" w:hAnsi="黑体" w:eastAsia="黑体" w:cs="黑体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二、绩效评价工作情况</w:t>
      </w:r>
    </w:p>
    <w:p w14:paraId="164CB9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（一）绩效评价目的</w:t>
      </w:r>
    </w:p>
    <w:p w14:paraId="22CDC3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评价</w:t>
      </w:r>
      <w:r>
        <w:rPr>
          <w:rFonts w:hint="eastAsia" w:ascii="仿宋_GB2312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陈家滩乡人民政府</w:t>
      </w:r>
      <w:r>
        <w:rPr>
          <w:rFonts w:hint="eastAsia"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的资金使用情况，合法性。</w:t>
      </w:r>
    </w:p>
    <w:p w14:paraId="43340BEC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bookmarkStart w:id="1" w:name="_Toc11844"/>
      <w:r>
        <w:rPr>
          <w:rFonts w:hint="eastAsia" w:ascii="楷体" w:hAnsi="楷体" w:eastAsia="楷体" w:cs="楷体"/>
          <w:b/>
          <w:bCs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被评价单位、绩效评价范围与时段</w:t>
      </w:r>
      <w:bookmarkEnd w:id="1"/>
    </w:p>
    <w:p w14:paraId="1C2A1B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firstLine="640" w:firstLineChars="200"/>
        <w:textAlignment w:val="auto"/>
        <w:rPr>
          <w:rFonts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评价陈家滩乡人民政府2025年全年的专项资金的使用情况，确保专项资金不被节流，挤占等情况</w:t>
      </w:r>
      <w:r>
        <w:rPr>
          <w:rFonts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。</w:t>
      </w:r>
    </w:p>
    <w:p w14:paraId="3AC50C34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bookmarkStart w:id="2" w:name="_Toc31835"/>
      <w:r>
        <w:rPr>
          <w:rFonts w:hint="eastAsia" w:ascii="楷体" w:hAnsi="楷体" w:eastAsia="楷体" w:cs="楷体"/>
          <w:b/>
          <w:bCs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绩效评价原则、评价指标体系、评价方法</w:t>
      </w:r>
      <w:bookmarkEnd w:id="2"/>
    </w:p>
    <w:p w14:paraId="73581B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firstLine="640" w:firstLineChars="200"/>
        <w:textAlignment w:val="auto"/>
        <w:rPr>
          <w:rFonts w:hint="eastAsia"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组织相关人员进行自查、自评，并按要求编写项目绩效自评报告。分析评价</w:t>
      </w:r>
      <w:r>
        <w:rPr>
          <w:rFonts w:hint="eastAsia" w:ascii="仿宋_GB2312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，</w:t>
      </w:r>
      <w:r>
        <w:rPr>
          <w:rFonts w:hint="eastAsia"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根据专项资金绩效评价考核指标表中的一级、二级、三级指标分析评分。</w:t>
      </w:r>
    </w:p>
    <w:p w14:paraId="253E76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outlineLvl w:val="0"/>
        <w:rPr>
          <w:rFonts w:hint="eastAsia" w:ascii="黑体" w:hAnsi="黑体" w:eastAsia="黑体" w:cs="黑体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bookmarkStart w:id="3" w:name="_Toc7615"/>
      <w:bookmarkStart w:id="4" w:name="_Toc32076"/>
      <w:r>
        <w:rPr>
          <w:rFonts w:hint="eastAsia" w:ascii="黑体" w:hAnsi="黑体" w:eastAsia="黑体" w:cs="黑体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三、主要绩效及评价结论</w:t>
      </w:r>
      <w:bookmarkEnd w:id="3"/>
      <w:bookmarkEnd w:id="4"/>
    </w:p>
    <w:p w14:paraId="3E8167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（一）社会效益</w:t>
      </w:r>
    </w:p>
    <w:p w14:paraId="15A60C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firstLine="640" w:firstLineChars="200"/>
        <w:textAlignment w:val="auto"/>
        <w:rPr>
          <w:rFonts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对全乡的基础设施进行修缮及修建</w:t>
      </w:r>
      <w:r>
        <w:rPr>
          <w:rFonts w:hint="eastAsia" w:ascii="仿宋_GB2312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，解决了百姓的出行问题，改善生活条件，推动全乡的经济发展，促进产业的升级，明显缩小城乡差距。</w:t>
      </w:r>
    </w:p>
    <w:p w14:paraId="65170755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生态效益</w:t>
      </w:r>
    </w:p>
    <w:p w14:paraId="3D6702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firstLine="640" w:firstLineChars="200"/>
        <w:textAlignment w:val="auto"/>
        <w:rPr>
          <w:rFonts w:ascii="仿宋_GB2312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对全乡的环境进行整治，改善百姓的居住环境，明显提升群众的幸福感。</w:t>
      </w:r>
    </w:p>
    <w:p w14:paraId="598DD2A2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可持续影响</w:t>
      </w:r>
    </w:p>
    <w:p w14:paraId="599D15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firstLine="640" w:firstLineChars="200"/>
        <w:textAlignment w:val="auto"/>
        <w:rPr>
          <w:rFonts w:ascii="仿宋_GB2312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完善相关的基础设施和环境整治，明显减少百姓的问题，邻里和睦，保持了和谐安定的社会秩序。</w:t>
      </w:r>
    </w:p>
    <w:p w14:paraId="3C744C4A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满意度情况</w:t>
      </w:r>
    </w:p>
    <w:p w14:paraId="5A19E0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firstLine="640" w:firstLineChars="200"/>
        <w:textAlignment w:val="auto"/>
        <w:rPr>
          <w:rFonts w:hint="eastAsia" w:ascii="仿宋_GB2312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项目的实施，显著提高了百姓对政府的满意度。</w:t>
      </w:r>
    </w:p>
    <w:p w14:paraId="1C5E8E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firstLine="640" w:firstLineChars="200"/>
        <w:textAlignment w:val="auto"/>
        <w:rPr>
          <w:rFonts w:ascii="仿宋_GB2312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</w:p>
    <w:p w14:paraId="4DFB2E9B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评价结论</w:t>
      </w:r>
    </w:p>
    <w:p w14:paraId="7F1E29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firstLine="640" w:firstLineChars="200"/>
        <w:textAlignment w:val="auto"/>
        <w:rPr>
          <w:rFonts w:ascii="楷体" w:hAnsi="楷体" w:eastAsia="楷体" w:cs="楷体"/>
          <w:b/>
          <w:bCs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ascii="仿宋_GB2312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202</w:t>
      </w:r>
      <w:r>
        <w:rPr>
          <w:rFonts w:hint="eastAsia" w:ascii="仿宋_GB2312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ascii="仿宋_GB2312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年度纳入绩效管理项目支出494.96万元。资金支 出严格按审批程序办理、操作规范，会计核算结果真实、准确。所以项目当年已全部完成支付。按照部门整体支出绩效评价指标体系对照打分，陈家滩乡乡项目资金绩效自评得分100 分，达到了年初设定的各项绩效目标。</w:t>
      </w:r>
    </w:p>
    <w:p w14:paraId="26B2A6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outlineLvl w:val="0"/>
        <w:rPr>
          <w:rFonts w:hint="eastAsia" w:ascii="黑体" w:hAnsi="黑体" w:eastAsia="黑体" w:cs="黑体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bookmarkStart w:id="5" w:name="_Toc27541"/>
      <w:bookmarkStart w:id="6" w:name="_Toc16332"/>
      <w:r>
        <w:rPr>
          <w:rFonts w:hint="eastAsia" w:ascii="黑体" w:hAnsi="黑体" w:eastAsia="黑体" w:cs="黑体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四、绩效评价指标分析</w:t>
      </w:r>
      <w:bookmarkEnd w:id="5"/>
      <w:bookmarkEnd w:id="6"/>
    </w:p>
    <w:p w14:paraId="0515EE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bookmarkStart w:id="7" w:name="_Toc17679"/>
      <w:r>
        <w:rPr>
          <w:rFonts w:hint="eastAsia" w:ascii="楷体" w:hAnsi="楷体" w:eastAsia="楷体" w:cs="楷体"/>
          <w:b/>
          <w:bCs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(一)项目决策情况</w:t>
      </w:r>
      <w:bookmarkEnd w:id="7"/>
    </w:p>
    <w:p w14:paraId="4A88F3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firstLine="640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一是前期准备。根据财政部门关于开展专项资金绩效目 标评价工作的要求，动员布置绩效评价工作。二是组织实施。 组织相关人员进行自查、自评，并按要求编写项目绩效自评 报告。三是分析评价。根据专项资金绩效评价考核指标表中 的一级、二级、三级指标分析评分。</w:t>
      </w:r>
    </w:p>
    <w:p w14:paraId="280130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bookmarkStart w:id="8" w:name="_Toc28411"/>
      <w:r>
        <w:rPr>
          <w:rFonts w:hint="eastAsia" w:ascii="楷体" w:hAnsi="楷体" w:eastAsia="楷体" w:cs="楷体"/>
          <w:b/>
          <w:bCs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(二)项目过程情况</w:t>
      </w:r>
      <w:bookmarkEnd w:id="8"/>
    </w:p>
    <w:p w14:paraId="59FF5F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firstLine="640" w:firstLineChars="200"/>
        <w:textAlignment w:val="auto"/>
        <w:outlineLvl w:val="2"/>
        <w:rPr>
          <w:rFonts w:hint="eastAsia"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bookmarkStart w:id="9" w:name="_Toc10140"/>
      <w:r>
        <w:rPr>
          <w:rFonts w:hint="eastAsia"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1.资金管理</w:t>
      </w:r>
      <w:bookmarkEnd w:id="9"/>
    </w:p>
    <w:p w14:paraId="05673B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firstLine="640" w:firstLineChars="200"/>
        <w:textAlignment w:val="auto"/>
        <w:rPr>
          <w:rFonts w:hint="eastAsia" w:ascii="仿宋_GB2312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严格按照相应的业务管理制度，规范各项经费的开支。 资金使用规范，符合国家财经法规和财务管理以及有关专项资金管理办法的规定；会计核算准确、财务资料完整。</w:t>
      </w:r>
    </w:p>
    <w:p w14:paraId="2FE761B4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firstLine="640" w:firstLineChars="200"/>
        <w:textAlignment w:val="auto"/>
        <w:outlineLvl w:val="2"/>
        <w:rPr>
          <w:rFonts w:hint="eastAsia"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bookmarkStart w:id="10" w:name="_Toc1210"/>
      <w:r>
        <w:rPr>
          <w:rFonts w:hint="eastAsia"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项目实施</w:t>
      </w:r>
      <w:bookmarkEnd w:id="10"/>
    </w:p>
    <w:p w14:paraId="5E7B4F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firstLine="640" w:firstLineChars="200"/>
        <w:textAlignment w:val="auto"/>
        <w:rPr>
          <w:rFonts w:hint="eastAsia" w:ascii="仿宋_GB2312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财政部门积极配合乡村振兴部门工作，共同完成乡村振兴项目以及人居环境整治项目。</w:t>
      </w:r>
    </w:p>
    <w:p w14:paraId="6DFDDD6E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/>
        <w:textAlignment w:val="auto"/>
        <w:outlineLvl w:val="1"/>
        <w:rPr>
          <w:rFonts w:hint="eastAsia" w:ascii="楷体" w:hAnsi="楷体" w:eastAsia="楷体" w:cs="楷体"/>
          <w:b/>
          <w:bCs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bookmarkStart w:id="11" w:name="_Toc6604"/>
      <w:r>
        <w:rPr>
          <w:rFonts w:hint="eastAsia" w:ascii="楷体" w:hAnsi="楷体" w:eastAsia="楷体" w:cs="楷体"/>
          <w:b/>
          <w:bCs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(三)项目产出情况</w:t>
      </w:r>
      <w:bookmarkEnd w:id="11"/>
    </w:p>
    <w:p w14:paraId="144C6977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/>
        <w:textAlignment w:val="auto"/>
        <w:outlineLvl w:val="2"/>
        <w:rPr>
          <w:rFonts w:hint="eastAsia"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bookmarkStart w:id="12" w:name="_Toc20742"/>
      <w:r>
        <w:rPr>
          <w:rFonts w:hint="eastAsia"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1.产出数量</w:t>
      </w:r>
      <w:bookmarkEnd w:id="12"/>
    </w:p>
    <w:p w14:paraId="0D998135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/>
        <w:textAlignment w:val="auto"/>
        <w:outlineLvl w:val="2"/>
        <w:rPr>
          <w:rFonts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全乡共完成新修公路</w:t>
      </w:r>
      <w:r>
        <w:rPr>
          <w:rFonts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hint="eastAsia"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公里，维修公路</w:t>
      </w:r>
      <w:r>
        <w:rPr>
          <w:rFonts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2</w:t>
      </w:r>
      <w:r>
        <w:rPr>
          <w:rFonts w:hint="eastAsia"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公里，环境整治</w:t>
      </w:r>
      <w:r>
        <w:rPr>
          <w:rFonts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个村，清运垃圾</w:t>
      </w:r>
      <w:r>
        <w:rPr>
          <w:rFonts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30</w:t>
      </w:r>
      <w:r>
        <w:rPr>
          <w:rFonts w:hint="eastAsia"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吨。</w:t>
      </w:r>
    </w:p>
    <w:p w14:paraId="4A7D8198">
      <w:pPr>
        <w:pStyle w:val="9"/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firstLine="640" w:firstLineChars="200"/>
        <w:textAlignment w:val="auto"/>
        <w:outlineLvl w:val="2"/>
        <w:rPr>
          <w:rFonts w:hint="eastAsia"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bookmarkStart w:id="13" w:name="_Toc5372"/>
      <w:r>
        <w:rPr>
          <w:rFonts w:hint="eastAsia"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产出质量</w:t>
      </w:r>
      <w:bookmarkEnd w:id="13"/>
    </w:p>
    <w:p w14:paraId="3CB69746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firstLine="640" w:firstLineChars="200"/>
        <w:textAlignment w:val="auto"/>
        <w:outlineLvl w:val="2"/>
        <w:rPr>
          <w:rFonts w:ascii="仿宋_GB2312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全乡所有项目均已验收合格，合格率100%。</w:t>
      </w:r>
    </w:p>
    <w:p w14:paraId="5D10E6BA">
      <w:pPr>
        <w:pStyle w:val="9"/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firstLine="640" w:firstLineChars="200"/>
        <w:textAlignment w:val="auto"/>
        <w:outlineLvl w:val="2"/>
        <w:rPr>
          <w:rFonts w:hint="eastAsia"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bookmarkStart w:id="14" w:name="_Toc25948"/>
      <w:r>
        <w:rPr>
          <w:rFonts w:hint="eastAsia"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产出成本</w:t>
      </w:r>
      <w:bookmarkEnd w:id="14"/>
    </w:p>
    <w:p w14:paraId="11681B95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/>
        <w:textAlignment w:val="auto"/>
        <w:outlineLvl w:val="2"/>
        <w:rPr>
          <w:rFonts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全乡所有项目成本控制均在预算范围之内。</w:t>
      </w:r>
    </w:p>
    <w:p w14:paraId="3F3FD847">
      <w:pPr>
        <w:pStyle w:val="9"/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firstLine="640" w:firstLineChars="200"/>
        <w:textAlignment w:val="auto"/>
        <w:outlineLvl w:val="2"/>
        <w:rPr>
          <w:rFonts w:hint="eastAsia"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bookmarkStart w:id="15" w:name="_Toc21477"/>
      <w:r>
        <w:rPr>
          <w:rFonts w:hint="eastAsia"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产出时效</w:t>
      </w:r>
      <w:bookmarkEnd w:id="15"/>
    </w:p>
    <w:p w14:paraId="3A7566F6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/>
        <w:textAlignment w:val="auto"/>
        <w:outlineLvl w:val="2"/>
        <w:rPr>
          <w:rFonts w:hint="eastAsia"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全乡所有项目均在2025年12月31日前完成</w:t>
      </w:r>
    </w:p>
    <w:p w14:paraId="29BFB1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outlineLvl w:val="0"/>
        <w:rPr>
          <w:rFonts w:hint="eastAsia" w:ascii="黑体" w:hAnsi="黑体" w:eastAsia="黑体" w:cs="黑体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bookmarkStart w:id="16" w:name="_Toc390267055"/>
      <w:bookmarkStart w:id="17" w:name="_Toc390096931"/>
      <w:bookmarkStart w:id="18" w:name="_Toc12414"/>
      <w:bookmarkStart w:id="19" w:name="_Toc24241"/>
      <w:r>
        <w:rPr>
          <w:rFonts w:hint="eastAsia" w:ascii="黑体" w:hAnsi="黑体" w:eastAsia="黑体" w:cs="黑体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五、项目主要经验、存在的问题</w:t>
      </w:r>
      <w:bookmarkEnd w:id="16"/>
      <w:bookmarkEnd w:id="17"/>
      <w:r>
        <w:rPr>
          <w:rFonts w:hint="eastAsia" w:ascii="黑体" w:hAnsi="黑体" w:eastAsia="黑体" w:cs="黑体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及建议</w:t>
      </w:r>
      <w:bookmarkEnd w:id="18"/>
      <w:bookmarkEnd w:id="19"/>
    </w:p>
    <w:p w14:paraId="686E04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outlineLvl w:val="1"/>
        <w:rPr>
          <w:rFonts w:hint="eastAsia" w:ascii="楷体" w:hAnsi="楷体" w:eastAsia="楷体" w:cs="楷体"/>
          <w:b/>
          <w:bCs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bookmarkStart w:id="20" w:name="_Toc23434"/>
      <w:bookmarkStart w:id="21" w:name="_Toc5316"/>
      <w:r>
        <w:rPr>
          <w:rFonts w:hint="eastAsia" w:ascii="楷体" w:hAnsi="楷体" w:eastAsia="楷体" w:cs="楷体"/>
          <w:b/>
          <w:bCs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（一）项目主要经验</w:t>
      </w:r>
      <w:bookmarkEnd w:id="20"/>
      <w:r>
        <w:rPr>
          <w:rFonts w:hint="eastAsia" w:ascii="楷体" w:hAnsi="楷体" w:eastAsia="楷体" w:cs="楷体"/>
          <w:b/>
          <w:bCs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及做法</w:t>
      </w:r>
      <w:bookmarkEnd w:id="21"/>
    </w:p>
    <w:p w14:paraId="1FE2CF8C">
      <w:pPr>
        <w:pStyle w:val="5"/>
        <w:spacing w:before="101" w:line="317" w:lineRule="auto"/>
        <w:ind w:left="443" w:firstLine="620"/>
        <w:jc w:val="both"/>
        <w:rPr>
          <w:rFonts w:hint="eastAsia"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一是领导高度重视。专项资金预算下拨后，主要领导和分管领导高度重视，落实责任分工，确保项目顺利进行。</w:t>
      </w:r>
    </w:p>
    <w:p w14:paraId="73F309BE">
      <w:pPr>
        <w:pStyle w:val="5"/>
        <w:spacing w:before="101" w:line="317" w:lineRule="auto"/>
        <w:ind w:left="443" w:firstLine="620"/>
        <w:jc w:val="both"/>
        <w:rPr>
          <w:rFonts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二是管理愈加规范。制定了专项资金管理工作制度，明确了资金付款流程，统一了资金申请手续，做到了层层审核、层层负责、层层把关。</w:t>
      </w:r>
    </w:p>
    <w:p w14:paraId="3324815B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firstLine="643" w:firstLineChars="200"/>
        <w:textAlignment w:val="auto"/>
        <w:outlineLvl w:val="1"/>
        <w:rPr>
          <w:rFonts w:hint="eastAsia" w:ascii="楷体" w:hAnsi="楷体" w:eastAsia="楷体" w:cs="楷体"/>
          <w:b/>
          <w:bCs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bookmarkStart w:id="22" w:name="_Toc2597"/>
      <w:bookmarkStart w:id="23" w:name="_Toc6772"/>
      <w:r>
        <w:rPr>
          <w:rFonts w:hint="eastAsia" w:ascii="楷体" w:hAnsi="楷体" w:eastAsia="楷体" w:cs="楷体"/>
          <w:b/>
          <w:bCs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存在的问题</w:t>
      </w:r>
      <w:bookmarkEnd w:id="22"/>
      <w:bookmarkEnd w:id="23"/>
    </w:p>
    <w:p w14:paraId="737D1A02">
      <w:pPr>
        <w:pStyle w:val="5"/>
        <w:spacing w:before="4" w:line="300" w:lineRule="auto"/>
        <w:ind w:left="443" w:right="94" w:firstLine="620"/>
        <w:rPr>
          <w:rFonts w:hint="eastAsia" w:ascii="楷体" w:hAnsi="楷体" w:eastAsia="楷体" w:cs="楷体"/>
          <w:b/>
          <w:bCs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年初未安排项目资金，年中根据具体专项业务追加资金具有不确定性，财政资金不能及时拨付到位</w:t>
      </w:r>
      <w:r>
        <w:rPr>
          <w:spacing w:val="-2"/>
        </w:rPr>
        <w:t>。</w:t>
      </w:r>
    </w:p>
    <w:p w14:paraId="4B78C032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firstLine="643" w:firstLineChars="200"/>
        <w:textAlignment w:val="auto"/>
        <w:outlineLvl w:val="1"/>
        <w:rPr>
          <w:rFonts w:hint="eastAsia" w:ascii="楷体" w:hAnsi="楷体" w:eastAsia="楷体" w:cs="楷体"/>
          <w:b/>
          <w:bCs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bookmarkStart w:id="24" w:name="_Toc16271"/>
      <w:bookmarkStart w:id="25" w:name="_Toc29278"/>
      <w:r>
        <w:rPr>
          <w:rFonts w:hint="eastAsia" w:ascii="楷体" w:hAnsi="楷体" w:eastAsia="楷体" w:cs="楷体"/>
          <w:b/>
          <w:bCs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有关建议</w:t>
      </w:r>
      <w:bookmarkEnd w:id="24"/>
      <w:bookmarkEnd w:id="25"/>
    </w:p>
    <w:p w14:paraId="5A730B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firstLine="640" w:firstLineChars="200"/>
        <w:textAlignment w:val="auto"/>
        <w:outlineLvl w:val="1"/>
        <w:rPr>
          <w:rFonts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Calibri" w:eastAsia="仿宋_GB2312" w:cs="仿宋_GB2312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进一步加强项目资金管理。严格实行项目管 理程序化，实现项目申报、实施、拨付、评价全流程监督与 控制，规范专项资金管理，提高专项资金的使用效益。</w:t>
      </w:r>
    </w:p>
    <w:p w14:paraId="5A953FE3">
      <w:pPr>
        <w:sectPr>
          <w:footerReference r:id="rId3" w:type="default"/>
          <w:pgSz w:w="11906" w:h="16838"/>
          <w:pgMar w:top="2098" w:right="1800" w:bottom="1984" w:left="1587" w:header="851" w:footer="992" w:gutter="0"/>
          <w:cols w:space="425" w:num="1"/>
          <w:docGrid w:type="lines" w:linePitch="312" w:charSpace="0"/>
        </w:sectPr>
      </w:pPr>
    </w:p>
    <w:p w14:paraId="3D459E92"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附件</w:t>
      </w:r>
    </w:p>
    <w:p w14:paraId="1B3EF72F">
      <w:pPr>
        <w:jc w:val="center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项目支出绩效自评表</w:t>
      </w:r>
    </w:p>
    <w:tbl>
      <w:tblPr>
        <w:tblW w:w="5866" w:type="pct"/>
        <w:tblInd w:w="-45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4"/>
        <w:gridCol w:w="670"/>
        <w:gridCol w:w="1179"/>
        <w:gridCol w:w="1433"/>
        <w:gridCol w:w="976"/>
        <w:gridCol w:w="1000"/>
        <w:gridCol w:w="959"/>
        <w:gridCol w:w="959"/>
        <w:gridCol w:w="2048"/>
      </w:tblGrid>
      <w:tr w14:paraId="16723A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979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项目支出名称</w:t>
            </w:r>
          </w:p>
        </w:tc>
        <w:tc>
          <w:tcPr>
            <w:tcW w:w="4499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F5B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巩固脱贫攻坚成果衔接乡村振兴</w:t>
            </w:r>
          </w:p>
        </w:tc>
      </w:tr>
      <w:tr w14:paraId="64BE7F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BCE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主管部门</w:t>
            </w:r>
          </w:p>
        </w:tc>
        <w:tc>
          <w:tcPr>
            <w:tcW w:w="20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5B8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沅陵县陈家滩乡人民政府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926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实施单位</w:t>
            </w:r>
          </w:p>
        </w:tc>
        <w:tc>
          <w:tcPr>
            <w:tcW w:w="193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0B8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沅陵县陈家滩乡人民政府</w:t>
            </w:r>
          </w:p>
        </w:tc>
      </w:tr>
      <w:tr w14:paraId="72CE7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C6C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项目资金(万元)</w:t>
            </w:r>
          </w:p>
        </w:tc>
        <w:tc>
          <w:tcPr>
            <w:tcW w:w="902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614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    资金来源</w:t>
            </w:r>
          </w:p>
        </w:tc>
        <w:tc>
          <w:tcPr>
            <w:tcW w:w="69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D28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年初预算数</w:t>
            </w:r>
          </w:p>
        </w:tc>
        <w:tc>
          <w:tcPr>
            <w:tcW w:w="47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72F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全年预算数</w:t>
            </w:r>
          </w:p>
        </w:tc>
        <w:tc>
          <w:tcPr>
            <w:tcW w:w="48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330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全年执行数</w:t>
            </w:r>
          </w:p>
        </w:tc>
        <w:tc>
          <w:tcPr>
            <w:tcW w:w="46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C2B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分值</w:t>
            </w:r>
          </w:p>
        </w:tc>
        <w:tc>
          <w:tcPr>
            <w:tcW w:w="46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C38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执行率</w:t>
            </w:r>
          </w:p>
        </w:tc>
        <w:tc>
          <w:tcPr>
            <w:tcW w:w="99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6D8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得分</w:t>
            </w:r>
          </w:p>
        </w:tc>
      </w:tr>
      <w:tr w14:paraId="5B128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89FE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2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EC8DE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886AB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FADD2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658FE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449AA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B5FE2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9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FD605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D6A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6FC7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2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79698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A142E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5E21F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24997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F62F1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B537F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9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EFC99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F90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2ECD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572A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其中:当年财政拨款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E28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68E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332.57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F7F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332.57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BFCE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74F2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F4EC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0C00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DC55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BC2C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上年结转金额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110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BC9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886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E8C8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5FD7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B0EE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42DD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C873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6F89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其它资金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71A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2DE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85E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C6CB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62F4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7FE7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16F22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6FF3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D4C0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年度资金总额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D69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365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332.57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97B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332.57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6E4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619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100.00%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316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10.00</w:t>
            </w:r>
          </w:p>
        </w:tc>
      </w:tr>
      <w:tr w14:paraId="23888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50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803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年度总体目标</w:t>
            </w:r>
          </w:p>
        </w:tc>
        <w:tc>
          <w:tcPr>
            <w:tcW w:w="20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512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预期目标</w:t>
            </w:r>
          </w:p>
        </w:tc>
        <w:tc>
          <w:tcPr>
            <w:tcW w:w="242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0D7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实际完成情况　</w:t>
            </w:r>
          </w:p>
        </w:tc>
      </w:tr>
      <w:tr w14:paraId="0B97A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41702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D8A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规范资金的使用；完善基础设施建设，提升设施建设成效；提升服务效能；建立健全长效机制。</w:t>
            </w:r>
          </w:p>
        </w:tc>
        <w:tc>
          <w:tcPr>
            <w:tcW w:w="242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76D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规范资金的使用；完善基础设施建设，提升设施建设成效；提升服务效能；建立健全长效机制。</w:t>
            </w:r>
            <w:bookmarkStart w:id="26" w:name="_GoBack"/>
            <w:bookmarkEnd w:id="26"/>
          </w:p>
        </w:tc>
      </w:tr>
      <w:tr w14:paraId="0F60E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50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1E5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绩效指标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42B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一级指标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4CA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二级指标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EC6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三级指标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363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年度指标值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2F6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实际完成值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B71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分值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E38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得分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0CD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偏差原因分析及改进措施</w:t>
            </w:r>
          </w:p>
        </w:tc>
      </w:tr>
      <w:tr w14:paraId="7C3330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5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589C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114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产出指标</w:t>
            </w:r>
          </w:p>
        </w:tc>
        <w:tc>
          <w:tcPr>
            <w:tcW w:w="57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164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数量指标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28FF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维修公路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7BB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≥2公里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C60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2.0公里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F81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978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6.00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1690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7B554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5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8AFE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F81F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D13B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1E12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新修公路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378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≥3公里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9A5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3公里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5FD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932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6.00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56EF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20C52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5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F870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5C11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07AE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532A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环境整治村数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373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≥3个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EF4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6个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284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DB3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6.00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7812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5554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5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0920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F09C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BCE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质量指标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4930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项目验收合格率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F1E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≥95%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5E8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98%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7EF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686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6.00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AFF2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F2A4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5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5179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2F61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5B7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时效指标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927B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完成的及时性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E11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2025年12月31日之前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B9D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2025年12月31日之前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6FB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30E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6.00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B278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D0AF8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5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0A02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6F5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效益指标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843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经济效益指标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6950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促进农村经济的发展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3AE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效果明显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8C5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效果明显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AE8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D57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8.00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542D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F8AAA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5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23CF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5FE2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41C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社会效益指标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0DC5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缩小城乡差距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BD3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效果明显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07E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效果明显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C08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273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8.00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32F7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03A9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5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9657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14E0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596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生态效益指标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F4BE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保护生态环境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6D8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效果明显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383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效果明显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B85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46C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7.00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F27F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E90B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5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3C05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8D10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8DE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可持续影响指标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A074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构建和谐社会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989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效果明显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CD1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效果明显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00D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C15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7.00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6180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C6EF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5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9D5F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724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满意度指标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DF6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服务对象满意度指标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B013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服务对象满意度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EA3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≥95%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60B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98%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684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94B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10.00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7244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93C2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5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28EB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60A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成本指标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1AB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经济成本指标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9D7E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资金使用情况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748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≤332.57万元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A76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332.57万元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8E0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B38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10.00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7342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6408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5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1D18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2D0D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388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社会成本指标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858C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社会成本节约率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0F1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≥0%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ECF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0%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B7B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EBC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5.00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CD87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5FBB4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5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3826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7E7D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EBD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生态环境成本指标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6D0E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生态环境成本节约率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665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≥0%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4FE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0%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55E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552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5.00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9695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F726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64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542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总分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D5F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9DD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100.00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47B6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73FF34B2">
      <w:pPr>
        <w:jc w:val="center"/>
        <w:rPr>
          <w:rFonts w:hint="default"/>
          <w:sz w:val="32"/>
          <w:szCs w:val="32"/>
          <w:lang w:val="en-US" w:eastAsia="zh-CN"/>
        </w:rPr>
      </w:pPr>
    </w:p>
    <w:sectPr>
      <w:pgSz w:w="11906" w:h="16838"/>
      <w:pgMar w:top="2098" w:right="1800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FD51CA7-B3A9-4845-8993-C31184F5EA1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D23A9641-AE3B-421B-9368-B1612EEDC4F5}"/>
  </w:font>
  <w:font w:name="Lucida Sans">
    <w:panose1 w:val="020B0602030504020204"/>
    <w:charset w:val="00"/>
    <w:family w:val="auto"/>
    <w:pitch w:val="default"/>
    <w:sig w:usb0="00000003" w:usb1="00000000" w:usb2="00000000" w:usb3="00000000" w:csb0="20000001" w:csb1="00000000"/>
  </w:font>
  <w:font w:name="方正兰亭黑_GBK">
    <w:altName w:val="微软雅黑"/>
    <w:panose1 w:val="02000000000000000000"/>
    <w:charset w:val="86"/>
    <w:family w:val="script"/>
    <w:pitch w:val="default"/>
    <w:sig w:usb0="00000000" w:usb1="00000000" w:usb2="0008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760ACE71-164E-4930-8F9F-EE2E6D72A653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C9EC336A-F40E-4B7E-8DF2-8AC757CEAD58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495374F5-2D87-4134-8AF8-FB1644D4CA19}"/>
  </w:font>
  <w:font w:name="方正仿宋_GB2312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KSOFB3087DCB">
    <w:panose1 w:val="02000000000000000000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CB8FE4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86360" cy="25781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6122" cy="257671"/>
                      </a:xfrm>
                      <a:prstGeom prst="rect">
                        <a:avLst/>
                      </a:prstGeom>
                      <a:noFill/>
                      <a:ln w="6350" cap="flat" cmpd="sng">
                        <a:noFill/>
                        <a:prstDash val="solid"/>
                        <a:round/>
                      </a:ln>
                    </wps:spPr>
                    <wps:txbx>
                      <w:txbxContent>
                        <w:p w14:paraId="171D9D84">
                          <w:pPr>
                            <w:pStyle w:val="7"/>
                          </w:pP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2" o:spid="_x0000_s1026" o:spt="1" style="position:absolute;left:0pt;margin-top:0pt;height:20.3pt;width:6.8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CBctJb1gAAAAMBAAAPAAAAAAAAAAEAIAAAACIAAABkcnMvZG93&#10;bnJldi54bWxQSwECFAAUAAAACACHTuJA7yNG8wICAADzAwAADgAAAAAAAAABACAAAAAlAQAAZHJz&#10;L2Uyb0RvYy54bWxQSwUGAAAAAAYABgBZAQAAmQUAAAAA&#10;">
              <v:fill on="f" focussize="0,0"/>
              <v:stroke on="f" weight="0.5pt" joinstyle="round"/>
              <v:imagedata o:title=""/>
              <o:lock v:ext="edit" aspectratio="f"/>
              <v:textbox inset="0mm,0mm,0mm,0mm" style="mso-fit-shape-to-text:t;">
                <w:txbxContent>
                  <w:p w14:paraId="171D9D84">
                    <w:pPr>
                      <w:pStyle w:val="7"/>
                    </w:pP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14D4214"/>
    <w:multiLevelType w:val="singleLevel"/>
    <w:tmpl w:val="B14D4214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B1819C84"/>
    <w:multiLevelType w:val="singleLevel"/>
    <w:tmpl w:val="B1819C84"/>
    <w:lvl w:ilvl="0" w:tentative="0">
      <w:start w:val="2"/>
      <w:numFmt w:val="decimal"/>
      <w:suff w:val="nothing"/>
      <w:lvlText w:val="（%1）"/>
      <w:lvlJc w:val="left"/>
    </w:lvl>
  </w:abstractNum>
  <w:abstractNum w:abstractNumId="2">
    <w:nsid w:val="C21D555D"/>
    <w:multiLevelType w:val="singleLevel"/>
    <w:tmpl w:val="C21D555D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E8B61440"/>
    <w:multiLevelType w:val="singleLevel"/>
    <w:tmpl w:val="E8B61440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4276D48E"/>
    <w:multiLevelType w:val="singleLevel"/>
    <w:tmpl w:val="4276D48E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5">
    <w:nsid w:val="51C853BB"/>
    <w:multiLevelType w:val="singleLevel"/>
    <w:tmpl w:val="51C853BB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0FE7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3"/>
    <w:qFormat/>
    <w:uiPriority w:val="0"/>
    <w:pPr>
      <w:keepNext/>
      <w:keepLines/>
      <w:spacing w:before="260" w:after="260" w:line="415" w:lineRule="auto"/>
      <w:outlineLvl w:val="1"/>
    </w:pPr>
    <w:rPr>
      <w:rFonts w:ascii="方正兰亭黑_GBK" w:hAnsi="方正兰亭黑_GBK" w:eastAsia="黑体"/>
      <w:b/>
      <w:bCs/>
      <w:sz w:val="32"/>
      <w:szCs w:val="32"/>
    </w:rPr>
  </w:style>
  <w:style w:type="paragraph" w:styleId="4">
    <w:name w:val="heading 3"/>
    <w:basedOn w:val="1"/>
    <w:next w:val="1"/>
    <w:link w:val="14"/>
    <w:qFormat/>
    <w:uiPriority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1">
    <w:name w:val="Default Paragraph Font"/>
    <w:qFormat/>
    <w:uiPriority w:val="0"/>
  </w:style>
  <w:style w:type="table" w:default="1" w:styleId="10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rPr>
      <w:rFonts w:ascii="仿宋" w:hAnsi="仿宋" w:eastAsia="仿宋" w:cs="仿宋"/>
      <w:sz w:val="31"/>
      <w:szCs w:val="31"/>
      <w:lang w:val="en-US" w:bidi="ar-SA"/>
    </w:rPr>
  </w:style>
  <w:style w:type="paragraph" w:styleId="6">
    <w:name w:val="Body Text Indent"/>
    <w:basedOn w:val="1"/>
    <w:qFormat/>
    <w:uiPriority w:val="0"/>
    <w:pPr>
      <w:ind w:firstLine="200" w:firstLineChars="200"/>
    </w:pPr>
    <w:rPr>
      <w:sz w:val="32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paragraph" w:styleId="9">
    <w:name w:val="Body Text First Indent 2"/>
    <w:basedOn w:val="6"/>
    <w:qFormat/>
    <w:uiPriority w:val="0"/>
    <w:rPr>
      <w:sz w:val="32"/>
    </w:rPr>
  </w:style>
  <w:style w:type="character" w:customStyle="1" w:styleId="12">
    <w:name w:val="heading 1 Char"/>
    <w:basedOn w:val="11"/>
    <w:link w:val="2"/>
    <w:uiPriority w:val="0"/>
    <w:rPr>
      <w:rFonts w:ascii="Calibri" w:hAnsi="Calibri" w:eastAsia="宋体" w:cs="Arial"/>
      <w:b/>
      <w:bCs/>
      <w:kern w:val="44"/>
      <w:sz w:val="44"/>
      <w:szCs w:val="44"/>
      <w:lang w:val="en-US" w:eastAsia="zh-CN" w:bidi="ar-SA"/>
    </w:rPr>
  </w:style>
  <w:style w:type="character" w:customStyle="1" w:styleId="13">
    <w:name w:val="heading 2 Char"/>
    <w:basedOn w:val="11"/>
    <w:link w:val="3"/>
    <w:uiPriority w:val="0"/>
    <w:rPr>
      <w:rFonts w:ascii="方正兰亭黑_GBK" w:hAnsi="Calibri" w:eastAsia="黑体" w:cs="Arial"/>
      <w:b/>
      <w:bCs/>
      <w:kern w:val="2"/>
      <w:sz w:val="32"/>
      <w:szCs w:val="32"/>
      <w:lang w:val="en-US" w:eastAsia="zh-CN" w:bidi="ar-SA"/>
    </w:rPr>
  </w:style>
  <w:style w:type="character" w:customStyle="1" w:styleId="14">
    <w:name w:val="heading 3 Char"/>
    <w:basedOn w:val="11"/>
    <w:link w:val="4"/>
    <w:uiPriority w:val="0"/>
    <w:rPr>
      <w:rFonts w:ascii="Calibri" w:hAnsi="Calibri" w:eastAsia="宋体" w:cs="Arial"/>
      <w:b/>
      <w:bCs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WPS">
      <a:fillStyleLst>
        <a:solidFill>
          <a:schemeClr val="phClr"/>
        </a:solidFill>
        <a:gradFill rotWithShape="1"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1"/>
        </a:gradFill>
        <a:gradFill rotWithShape="1"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1"/>
        </a:gradFill>
      </a:fillStyleLst>
      <a:lnStyleLst>
        <a:ln w="12700" cap="flat" cmpd="sng">
          <a:solidFill>
            <a:schemeClr val="phClr"/>
          </a:solidFill>
          <a:prstDash val="solid"/>
          <a:miter/>
        </a:ln>
        <a:ln w="12700" cap="flat" cmpd="sng">
          <a:solidFill>
            <a:schemeClr val="phClr"/>
          </a:solidFill>
          <a:prstDash val="solid"/>
          <a:miter/>
        </a:ln>
        <a:ln w="12700" cap="flat" cmpd="sng">
          <a:gradFill rotWithShape="1"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ustomData xmlns="http://www.yozosoft.com.cn/officeDocument/2016/customData">
  <customProps>
    <docPr revisions="3 0 5 0 0 0 1 0 0 0 3678 0 1 1 1 1"/>
    <sectPr/>
  </customProps>
</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A2C2FC0-02BF-410F-8974-A9A1DE2E6D6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7</Pages>
  <Words>1943</Words>
  <Characters>1996</Characters>
  <Lines>0</Lines>
  <Paragraphs>71</Paragraphs>
  <TotalTime>7</TotalTime>
  <ScaleCrop>false</ScaleCrop>
  <LinksUpToDate>false</LinksUpToDate>
  <CharactersWithSpaces>2007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2025-02-17T08:53:00Z</dcterms:created>
  <dc:creator>Administrator</dc:creator>
  <cp:lastModifiedBy>浅水浮香</cp:lastModifiedBy>
  <dcterms:modified xsi:type="dcterms:W3CDTF">2026-09-15T08:29:01Z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eyJoZGlkIjoiYzAxN2I4ODU2MDNjNzQ1N2M3NzRhMmY1ODY3MGE4M2MiLCJ1c2VySWQiOiI0MjE4NzQ4MjgifQ==</vt:lpwstr>
  </property>
  <property fmtid="{D5CDD505-2E9C-101B-9397-08002B2CF9AE}" pid="4" name="ICV">
    <vt:lpwstr>4B057DD9981F475483A9D314E11A21EA_13</vt:lpwstr>
  </property>
</Properties>
</file>