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BF7D8">
      <w:pPr>
        <w:spacing w:line="640" w:lineRule="exact"/>
        <w:jc w:val="center"/>
        <w:rPr>
          <w:rFonts w:ascii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</w:rPr>
        <w:t>沅陵县交通运输局</w:t>
      </w:r>
      <w:bookmarkEnd w:id="0"/>
      <w:r>
        <w:rPr>
          <w:rFonts w:ascii="宋体" w:hAnsi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sz w:val="44"/>
          <w:szCs w:val="44"/>
        </w:rPr>
        <w:t>年</w:t>
      </w:r>
    </w:p>
    <w:p w14:paraId="285EA3C6">
      <w:pPr>
        <w:spacing w:line="640" w:lineRule="exact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部门整体支出绩效自评报告</w:t>
      </w:r>
    </w:p>
    <w:p w14:paraId="6284072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E04E44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33A8640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4252FB48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沅陵县交通运输局是沅陵县人民政府正科级工作部门，内设8个职能股室（办公室、人事教育股、计划统计股、安全监督股、运输监督管理股、财务审计股、行政审批服务股、农村公路建设管理办公室）</w:t>
      </w:r>
      <w:r>
        <w:rPr>
          <w:rFonts w:hint="eastAsia" w:ascii="仿宋" w:hAnsi="仿宋" w:eastAsia="仿宋"/>
          <w:color w:val="auto"/>
          <w:sz w:val="32"/>
          <w:szCs w:val="32"/>
        </w:rPr>
        <w:t>，下设4个副科级（沅陵县交通运输综合行政执法大队、沅陵县交通建设质量安全监督站、水运事务中心、沅陵县道路运输服务中心）和2个副科级以下二级机构（沅陵县城市客运服务中心、沅陵县城区码头保洁服务中心）；行业管理1个正科级单位（</w:t>
      </w:r>
      <w:r>
        <w:rPr>
          <w:rFonts w:ascii="仿宋" w:hAnsi="仿宋" w:eastAsia="仿宋"/>
          <w:color w:val="auto"/>
          <w:sz w:val="32"/>
          <w:szCs w:val="32"/>
        </w:rPr>
        <w:t>沅陵县公路建设养护中心</w:t>
      </w:r>
      <w:r>
        <w:rPr>
          <w:rFonts w:hint="eastAsia" w:ascii="仿宋" w:hAnsi="仿宋" w:eastAsia="仿宋"/>
          <w:color w:val="auto"/>
          <w:sz w:val="32"/>
          <w:szCs w:val="32"/>
        </w:rPr>
        <w:t>）。</w:t>
      </w:r>
    </w:p>
    <w:p w14:paraId="24B00029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375C5BF7">
      <w:pPr>
        <w:spacing w:line="600" w:lineRule="exact"/>
        <w:ind w:firstLine="640" w:firstLineChars="200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交通运输局属行政机关，共有行政编制</w:t>
      </w:r>
      <w:r>
        <w:rPr>
          <w:rFonts w:ascii="仿宋" w:hAnsi="仿宋" w:eastAsia="仿宋" w:cs="仿宋_GB2312"/>
          <w:bCs/>
          <w:color w:val="000000"/>
          <w:sz w:val="32"/>
          <w:szCs w:val="32"/>
        </w:rPr>
        <w:t>15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人，实有人数在职</w:t>
      </w:r>
      <w:r>
        <w:rPr>
          <w:rFonts w:ascii="仿宋" w:hAnsi="仿宋" w:eastAsia="仿宋" w:cs="仿宋_GB2312"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人（区划人员</w:t>
      </w:r>
      <w:r>
        <w:rPr>
          <w:rFonts w:ascii="仿宋" w:hAnsi="仿宋" w:eastAsia="仿宋" w:cs="仿宋_GB2312"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人），退休</w:t>
      </w:r>
      <w:r>
        <w:rPr>
          <w:rFonts w:ascii="仿宋" w:hAnsi="仿宋" w:eastAsia="仿宋" w:cs="仿宋_GB2312"/>
          <w:bCs/>
          <w:sz w:val="32"/>
          <w:szCs w:val="32"/>
        </w:rPr>
        <w:t>3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人。</w:t>
      </w:r>
    </w:p>
    <w:p w14:paraId="063BBE7B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62E51DB5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交通运输局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贯彻执行国家有关交通运输的政策、法律、法规，负责交通运输执法检查和监督；承担涉及综合运输体系的规划协调工作，会同有关部门组织编制全县综合运输体系规划，指导交通运输规划和管理；组织拟订并监督实施全县公路、水路等行业规划、政策和标准，参与拟订物流发展战略和规划，拟订有关政策并监督实施。指导全县交通运输有关体制改革工作；承办县委、县人民政府和上级主管部门交办的其它事项。</w:t>
      </w:r>
    </w:p>
    <w:p w14:paraId="6AD0718C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7C8A0A0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交通运输局抢抓机遇、改革创新，着力构建现代综合交通运输体系</w:t>
      </w:r>
      <w:r>
        <w:rPr>
          <w:rFonts w:hint="default" w:ascii="仿宋" w:hAnsi="仿宋" w:eastAsia="仿宋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严格按照县委、县政府决策部署，全力实施交通基础设施提质增效，统筹抓好安全监管、运输服务、综合治理等工作，稳步推动交通运输高质量发展。</w:t>
      </w:r>
    </w:p>
    <w:p w14:paraId="281365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960" w:firstLineChars="30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75CE6D9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61022A36">
      <w:pPr>
        <w:spacing w:after="0" w:line="560" w:lineRule="exact"/>
        <w:ind w:firstLine="640" w:firstLineChars="200"/>
        <w:jc w:val="both"/>
        <w:rPr>
          <w:rFonts w:ascii="仿宋" w:hAnsi="仿宋" w:eastAsia="仿宋"/>
          <w:bCs/>
          <w:color w:val="444444"/>
          <w:sz w:val="32"/>
          <w:szCs w:val="32"/>
        </w:rPr>
      </w:pPr>
      <w:r>
        <w:rPr>
          <w:rFonts w:hint="eastAsia" w:ascii="仿宋" w:hAnsi="仿宋" w:eastAsia="仿宋"/>
          <w:bCs/>
          <w:color w:val="444444"/>
          <w:sz w:val="32"/>
          <w:szCs w:val="32"/>
        </w:rPr>
        <w:t>严格按照国家有关规定使用资金，专款专用。根据项目进度申请拨付使用资金，严格履行规定的审批程序和完善相应手续。</w:t>
      </w:r>
    </w:p>
    <w:p w14:paraId="160BF71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5D99BDE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 w14:paraId="599E1FED">
      <w:pPr>
        <w:pBdr>
          <w:bottom w:val="single" w:color="FFFFFF" w:sz="4" w:space="30"/>
        </w:pBd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年我单位对基本支出严格按政策执行，制订了各项管理办法，特别是对“三公”经费严格控制。全年基本支出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869.76</w:t>
      </w:r>
      <w:r>
        <w:rPr>
          <w:rFonts w:hint="eastAsia" w:ascii="仿宋" w:hAnsi="仿宋" w:eastAsia="仿宋"/>
          <w:sz w:val="32"/>
          <w:szCs w:val="32"/>
        </w:rPr>
        <w:t>万元主要用于工资福利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对个人和家庭补助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办公费、水电费、电话网络费、差旅费、办公设备购置及“三公”经费等（其中“三公”经费为公务接待费1.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万元、无因公出国出境费用）。在严格管理下，没有超预算支出。</w:t>
      </w:r>
    </w:p>
    <w:p w14:paraId="4709D24C">
      <w:pPr>
        <w:pBdr>
          <w:bottom w:val="single" w:color="FFFFFF" w:sz="4" w:space="30"/>
        </w:pBdr>
        <w:spacing w:line="560" w:lineRule="exact"/>
        <w:ind w:firstLine="640" w:firstLineChars="200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 w14:paraId="6F6B3159">
      <w:pPr>
        <w:pBdr>
          <w:bottom w:val="single" w:color="FFFFFF" w:sz="4" w:space="30"/>
        </w:pBdr>
        <w:spacing w:line="560" w:lineRule="exact"/>
        <w:ind w:firstLine="640" w:firstLineChars="200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ascii="仿宋" w:hAnsi="仿宋" w:eastAsia="仿宋" w:cs="仿宋_GB2312"/>
          <w:bCs/>
          <w:color w:val="000000"/>
          <w:sz w:val="32"/>
          <w:szCs w:val="32"/>
        </w:rPr>
        <w:t>02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年全年项目支出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13541.26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万元</w:t>
      </w:r>
      <w:r>
        <w:rPr>
          <w:rFonts w:ascii="仿宋" w:hAnsi="仿宋" w:eastAsia="仿宋" w:cs="仿宋_GB2312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bCs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_GB2312"/>
          <w:bCs/>
          <w:sz w:val="32"/>
          <w:szCs w:val="32"/>
        </w:rPr>
        <w:t>全县交通事业发展和农村公路建设资金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13307.65</w:t>
      </w:r>
      <w:r>
        <w:rPr>
          <w:rFonts w:hint="eastAsia" w:ascii="仿宋" w:hAnsi="仿宋" w:eastAsia="仿宋" w:cs="仿宋_GB2312"/>
          <w:bCs/>
          <w:sz w:val="32"/>
          <w:szCs w:val="32"/>
        </w:rPr>
        <w:t>万元、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水上保洁服务专项经费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37.37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万元、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财政对企业职工养老保险的补助（航运公司）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76.74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万元、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二级及以上汽车客运和枢纽站虚夸纾困解难临时补助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、公交车补贴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109.5万元（老年人免费乘车补贴94.5万元、公交车运营困难资金15万元，两笔资金由交通运输局拨付给城市客运服务中心，因其为预算单位，109.5万元由城市客运服务中心填报）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。</w:t>
      </w:r>
    </w:p>
    <w:p w14:paraId="21E678FA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（三）“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经费使用和管理情况</w:t>
      </w:r>
    </w:p>
    <w:p w14:paraId="1929AD87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三公”经费为公务接待费1.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万元、无因公出国出境费用。</w:t>
      </w:r>
    </w:p>
    <w:p w14:paraId="69119FAE">
      <w:pPr>
        <w:numPr>
          <w:ilvl w:val="0"/>
          <w:numId w:val="2"/>
        </w:numPr>
        <w:pBdr>
          <w:bottom w:val="single" w:color="FFFFFF" w:sz="4" w:space="30"/>
        </w:pBdr>
        <w:spacing w:line="560" w:lineRule="exact"/>
        <w:ind w:firstLine="640" w:firstLineChars="200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政府性基金预算支出情况</w:t>
      </w:r>
    </w:p>
    <w:p w14:paraId="2FBE0933">
      <w:pPr>
        <w:numPr>
          <w:ilvl w:val="0"/>
          <w:numId w:val="2"/>
        </w:numPr>
        <w:pBdr>
          <w:bottom w:val="single" w:color="FFFFFF" w:sz="4" w:space="30"/>
        </w:pBdr>
        <w:spacing w:line="560" w:lineRule="exact"/>
        <w:ind w:firstLine="640" w:firstLineChars="200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国有资本经营预算支出情况</w:t>
      </w:r>
    </w:p>
    <w:p w14:paraId="2A1E1A25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40" w:firstLineChars="200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五、社会保险基金预算支出情况</w:t>
      </w:r>
    </w:p>
    <w:p w14:paraId="60B0208D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40" w:firstLineChars="200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六、部门整体支出绩效情况</w:t>
      </w:r>
    </w:p>
    <w:p w14:paraId="777F16BA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40" w:firstLineChars="200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2B50C0C0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部门整体支出对预算执行高度重视，大力提倡勤俭节约，坚持把有限的经费用在本单位的中心工作上，严格财经纪律，严格财务制度，坚持先有预算，后有支出，每笔财务支出都经过严格的审批程序，这些措施较好的保证了财务开支和资金使用的合规、合法，安全有效。</w:t>
      </w:r>
    </w:p>
    <w:p w14:paraId="04CA3524">
      <w:pPr>
        <w:pBdr>
          <w:bottom w:val="single" w:color="FFFFFF" w:sz="4" w:space="30"/>
        </w:pBd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综上，我单位综合得分为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分。</w:t>
      </w:r>
    </w:p>
    <w:p w14:paraId="6E9F45EC">
      <w:pPr>
        <w:numPr>
          <w:ilvl w:val="0"/>
          <w:numId w:val="3"/>
        </w:numPr>
        <w:pBdr>
          <w:bottom w:val="single" w:color="FFFFFF" w:sz="4" w:space="30"/>
        </w:pBdr>
        <w:spacing w:line="56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评价指标分析。</w:t>
      </w:r>
    </w:p>
    <w:p w14:paraId="67F67002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经济性分析</w:t>
      </w:r>
    </w:p>
    <w:p w14:paraId="507C7C42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ascii="仿宋" w:hAnsi="仿宋" w:eastAsia="仿宋" w:cs="仿宋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年支出总预算为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14412.02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实际总支出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14411.02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万元。提升了基本公共服务水平，对经济发展的促进作用明显，交通建设符合环境审批要求，完全适应未来一定时期内的交通需求。</w:t>
      </w:r>
    </w:p>
    <w:p w14:paraId="018B24E9">
      <w:pPr>
        <w:pBdr>
          <w:bottom w:val="single" w:color="FFFFFF" w:sz="4" w:space="30"/>
        </w:pBd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.效率性分析</w:t>
      </w:r>
    </w:p>
    <w:p w14:paraId="3CC4F9D0">
      <w:pPr>
        <w:pBdr>
          <w:bottom w:val="single" w:color="FFFFFF" w:sz="4" w:space="30"/>
        </w:pBd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年支出绩效情况较好，均按年初设定的目标任务积极完成各项工作。</w:t>
      </w:r>
    </w:p>
    <w:p w14:paraId="5D473F7F">
      <w:pPr>
        <w:pBdr>
          <w:bottom w:val="single" w:color="FFFFFF" w:sz="4" w:space="30"/>
        </w:pBd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.有效性分析</w:t>
      </w:r>
    </w:p>
    <w:p w14:paraId="691B71D4">
      <w:pPr>
        <w:pBdr>
          <w:bottom w:val="single" w:color="FFFFFF" w:sz="4" w:space="30"/>
        </w:pBd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完成了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年初设定的专项工作任务，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年实际支出总额未超出年初预算，实现了任务目标，保证了正常工作运转。</w:t>
      </w:r>
    </w:p>
    <w:p w14:paraId="6631BE07">
      <w:pPr>
        <w:pBdr>
          <w:bottom w:val="single" w:color="FFFFFF" w:sz="4" w:space="30"/>
        </w:pBd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.可持续性分析</w:t>
      </w:r>
    </w:p>
    <w:p w14:paraId="3B3C400A">
      <w:pPr>
        <w:pBdr>
          <w:bottom w:val="single" w:color="FFFFFF" w:sz="4" w:space="30"/>
        </w:pBd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励行节约，坚持把有限的专项经费用在刀刃上，进一步完善财务管理制度，接受监督，保证了财务开支和资金使用的合法合规、安全有效，保证了交通工作的可持续性发展。</w:t>
      </w:r>
    </w:p>
    <w:p w14:paraId="2B3F0B0A">
      <w:pPr>
        <w:pBdr>
          <w:bottom w:val="single" w:color="FFFFFF" w:sz="4" w:space="30"/>
        </w:pBdr>
        <w:spacing w:line="560" w:lineRule="exact"/>
        <w:ind w:firstLine="632" w:firstLineChars="200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pacing w:val="-2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资产管理情况</w:t>
      </w:r>
    </w:p>
    <w:p w14:paraId="0742FA05">
      <w:pPr>
        <w:pBdr>
          <w:bottom w:val="single" w:color="FFFFFF" w:sz="4" w:space="30"/>
        </w:pBd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交通运输局固定资产的配置是按照有利于工作的开展，科学合理，优化资产结构，勤俭节约出发，从严控制。主要是办公设备（含部分二级单位）、办公用房系租用。</w:t>
      </w:r>
    </w:p>
    <w:p w14:paraId="44A6E5C9">
      <w:pPr>
        <w:pBdr>
          <w:bottom w:val="single" w:color="FFFFFF" w:sz="4" w:space="30"/>
        </w:pBd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固定资产的管理严格按照《行政单位国有资产管理暂行办法》执行，对所有固定资产按类进行建卡登记，保证账实相符，账卡相符，固定资产的购入及时进行登记，并进行账务核算，对报废不能用严格履行审批手续，未经批准不得处置。</w:t>
      </w:r>
    </w:p>
    <w:p w14:paraId="5729430E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43" w:firstLineChars="200"/>
        <w:rPr>
          <w:rFonts w:hint="eastAsia" w:ascii="黑体" w:hAnsi="黑体" w:eastAsia="黑体" w:cs="黑体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七、存在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的问题及原因分析</w:t>
      </w:r>
    </w:p>
    <w:p w14:paraId="2DA8CA78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00" w:firstLineChars="200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因部门整体支出的资金安排和使用上具有不可预见性，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  <w:t>尤其公路支出资金预算不够精确，存在自然因素影响，如水毁经费，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行政经费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  <w:t>过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少，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  <w:t>导致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编制范围不太全面，预算执行情况还有待进一步加强。</w:t>
      </w:r>
    </w:p>
    <w:p w14:paraId="36082582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41" w:firstLineChars="200"/>
        <w:rPr>
          <w:rFonts w:hint="eastAsia" w:ascii="标准粗黑" w:hAnsi="标准粗黑" w:eastAsia="标准粗黑" w:cs="标准粗黑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八、下一步改进措施</w:t>
      </w:r>
    </w:p>
    <w:p w14:paraId="792EE13C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/>
          <w:sz w:val="32"/>
          <w:szCs w:val="32"/>
          <w:lang w:eastAsia="zh-CN"/>
        </w:rPr>
        <w:t>改进措施</w:t>
      </w:r>
    </w:p>
    <w:p w14:paraId="08DDDC09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加强资金管理，提高资金使用效益，合理列支年度经费支出,构建单位财务部门和业务部门共同参与、协调配合的绩效评价工作机制，落实 “谁干事谁花钱、谁花钱谁担责”的权责机制，提高财政资金使用效益。</w:t>
      </w:r>
    </w:p>
    <w:p w14:paraId="1FDACCFB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（二）工作</w:t>
      </w:r>
      <w:r>
        <w:rPr>
          <w:rFonts w:hint="eastAsia" w:ascii="仿宋" w:hAnsi="仿宋" w:eastAsia="仿宋"/>
          <w:sz w:val="32"/>
          <w:szCs w:val="32"/>
          <w:lang w:eastAsia="zh-CN"/>
        </w:rPr>
        <w:t>建议</w:t>
      </w:r>
    </w:p>
    <w:p w14:paraId="28CD9595">
      <w:pPr>
        <w:numPr>
          <w:ilvl w:val="0"/>
          <w:numId w:val="0"/>
        </w:numPr>
        <w:pBdr>
          <w:bottom w:val="single" w:color="FFFFFF" w:sz="4" w:space="30"/>
        </w:pBdr>
        <w:spacing w:line="560" w:lineRule="exact"/>
        <w:ind w:firstLine="600" w:firstLineChars="200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  <w:t>一是建议县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财政部门按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  <w:t>项目建设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进度拨付各项资金，保障各项工作顺利开展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  <w:t>；二是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希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  <w:t>建议县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财政部门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  <w:t>及时组织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开展相关的业务培训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  <w:t>和新业务的实操技能，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提高财务人员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业务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  <w:t>能力和工作水平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。</w:t>
      </w:r>
    </w:p>
    <w:p w14:paraId="106A32B8">
      <w:pPr>
        <w:pBdr>
          <w:bottom w:val="single" w:color="FFFFFF" w:sz="4" w:space="30"/>
        </w:pBdr>
        <w:spacing w:line="560" w:lineRule="exact"/>
        <w:ind w:firstLine="640" w:firstLineChars="200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九、其他需要说明的情况</w:t>
      </w:r>
    </w:p>
    <w:p w14:paraId="672D3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沅陵县交通运输局</w:t>
      </w:r>
    </w:p>
    <w:p w14:paraId="42316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2025年5月18日</w:t>
      </w:r>
    </w:p>
    <w:p w14:paraId="64E7FA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b/>
          <w:spacing w:val="-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4243F99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right"/>
        <w:textAlignment w:val="auto"/>
        <w:rPr>
          <w:rFonts w:hint="eastAsia" w:ascii="仿宋" w:hAnsi="仿宋" w:eastAsia="仿宋" w:cs="仿宋"/>
          <w:spacing w:val="-2"/>
          <w:sz w:val="30"/>
          <w:szCs w:val="30"/>
        </w:rPr>
      </w:pPr>
    </w:p>
    <w:p w14:paraId="086F2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99263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72A0B1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F9A6E9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1DD8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E219C1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9949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71C0B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462FC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EB8C60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2EFE0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37DE2F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1A4CB1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80885D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03939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53BE88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A94AE38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FEB321-A0D8-4663-B97A-100147FA76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5D7F2A4-E1BB-44A0-9674-B17165921843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D317C34-A6BE-44DF-9CE3-60959A5129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8A8112C-62E2-45F4-B6C3-EE0E03AF4DA1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5" w:fontKey="{B6333DD1-37DA-42C2-AA61-2315703417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7F44845-7680-42D1-AF7C-6E00006D42B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40DD3E1E-8087-46E3-A708-67E6618242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F4981386-DFE5-4169-AC36-D51B96A0AAF7}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5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5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5061A"/>
    <w:multiLevelType w:val="singleLevel"/>
    <w:tmpl w:val="2C45061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8F91DC"/>
    <w:multiLevelType w:val="singleLevel"/>
    <w:tmpl w:val="618F91D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7A64377"/>
    <w:multiLevelType w:val="singleLevel"/>
    <w:tmpl w:val="67A6437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4B63DB9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1B6D2EC4"/>
    <w:rsid w:val="1FC24F0D"/>
    <w:rsid w:val="21014619"/>
    <w:rsid w:val="22FE234B"/>
    <w:rsid w:val="23443011"/>
    <w:rsid w:val="277E6F02"/>
    <w:rsid w:val="29990575"/>
    <w:rsid w:val="29F87F71"/>
    <w:rsid w:val="2AF6742D"/>
    <w:rsid w:val="2E833798"/>
    <w:rsid w:val="2F3A355B"/>
    <w:rsid w:val="2F57770C"/>
    <w:rsid w:val="312A2265"/>
    <w:rsid w:val="34A44525"/>
    <w:rsid w:val="36FC0F5D"/>
    <w:rsid w:val="375773F8"/>
    <w:rsid w:val="38CC5315"/>
    <w:rsid w:val="393E32BB"/>
    <w:rsid w:val="419B2857"/>
    <w:rsid w:val="41D71DA8"/>
    <w:rsid w:val="45D249F5"/>
    <w:rsid w:val="4C6611ED"/>
    <w:rsid w:val="4DEF7A42"/>
    <w:rsid w:val="5373746A"/>
    <w:rsid w:val="552A0475"/>
    <w:rsid w:val="578D10CB"/>
    <w:rsid w:val="5A5915AC"/>
    <w:rsid w:val="64F974E4"/>
    <w:rsid w:val="67160B92"/>
    <w:rsid w:val="6A01397C"/>
    <w:rsid w:val="6A12486A"/>
    <w:rsid w:val="6BDF5315"/>
    <w:rsid w:val="6F1D38B6"/>
    <w:rsid w:val="6FAF27B6"/>
    <w:rsid w:val="70BC486D"/>
    <w:rsid w:val="753C4E9B"/>
    <w:rsid w:val="75F47EB5"/>
    <w:rsid w:val="764E40CF"/>
    <w:rsid w:val="77CA616D"/>
    <w:rsid w:val="781113A7"/>
    <w:rsid w:val="78864672"/>
    <w:rsid w:val="791E6510"/>
    <w:rsid w:val="79A63A67"/>
    <w:rsid w:val="7C8D4A41"/>
    <w:rsid w:val="7C9048DB"/>
    <w:rsid w:val="7D3345D4"/>
    <w:rsid w:val="7EAC1388"/>
    <w:rsid w:val="7ED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99"/>
    <w:pPr>
      <w:widowControl w:val="0"/>
      <w:autoSpaceDE w:val="0"/>
      <w:autoSpaceDN w:val="0"/>
      <w:adjustRightInd/>
      <w:snapToGrid/>
      <w:spacing w:after="0"/>
    </w:pPr>
    <w:rPr>
      <w:rFonts w:ascii="仿宋" w:hAnsi="仿宋" w:eastAsia="仿宋" w:cs="宋体"/>
      <w:sz w:val="32"/>
      <w:szCs w:val="32"/>
    </w:rPr>
  </w:style>
  <w:style w:type="paragraph" w:styleId="4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1">
    <w:name w:val="标题1"/>
    <w:basedOn w:val="2"/>
    <w:autoRedefine/>
    <w:qFormat/>
    <w:uiPriority w:val="0"/>
    <w:rPr>
      <w:rFonts w:eastAsia="黑体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2048</Words>
  <Characters>2144</Characters>
  <Lines>0</Lines>
  <Paragraphs>0</Paragraphs>
  <TotalTime>15</TotalTime>
  <ScaleCrop>false</ScaleCrop>
  <LinksUpToDate>false</LinksUpToDate>
  <CharactersWithSpaces>2252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Administrator</cp:lastModifiedBy>
  <cp:lastPrinted>2024-02-26T03:24:00Z</cp:lastPrinted>
  <dcterms:modified xsi:type="dcterms:W3CDTF">2025-10-27T07:42:55Z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5F8BADB924024F6E849F46E5C56611A6_13</vt:lpwstr>
  </property>
  <property fmtid="{D5CDD505-2E9C-101B-9397-08002B2CF9AE}" pid="4" name="KSOTemplateDocerSaveRecord">
    <vt:lpwstr>eyJoZGlkIjoiZDA2MDAzYjYzZjVmMDRjODdlODVlZDQ2NTFiODEwYzQiLCJ1c2VySWQiOiI3NDgyMTkzMjUifQ==</vt:lpwstr>
  </property>
</Properties>
</file>