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大合坪乡人民政府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20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年部门整体支出</w:t>
      </w:r>
    </w:p>
    <w:p>
      <w:pPr>
        <w:spacing w:line="600" w:lineRule="exact"/>
        <w:ind w:firstLine="880" w:firstLineChars="20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绩效自评报告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" w:hAnsi="仿宋"/>
          <w:spacing w:val="-2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根据《预算法》有关“各级政府、各部门、各单位应当对预算支出情况开展绩效评价”的规定及县财政局《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关于开展202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年度部门整体支出和专项支出绩效自评工作的通知》（沅财绩〔202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109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号）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文件精神，我单位对部门整体支出进行了绩效评价,现将有关情况报告如下：</w:t>
      </w:r>
    </w:p>
    <w:p>
      <w:pPr>
        <w:spacing w:line="560" w:lineRule="exact"/>
        <w:ind w:firstLine="633" w:firstLineChars="198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一、部门概况</w:t>
      </w:r>
    </w:p>
    <w:p>
      <w:pPr>
        <w:spacing w:line="560" w:lineRule="exact"/>
        <w:ind w:firstLine="473" w:firstLineChars="148"/>
        <w:rPr>
          <w:rFonts w:hint="eastAsia" w:ascii="楷体" w:hAnsi="楷体" w:eastAsia="楷体" w:cs="楷体"/>
          <w:b w:val="0"/>
          <w:bCs/>
          <w:i w:val="0"/>
          <w:i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（一）部门基本情况。</w:t>
      </w:r>
    </w:p>
    <w:p>
      <w:pPr>
        <w:spacing w:line="560" w:lineRule="exact"/>
        <w:ind w:firstLine="633" w:firstLineChars="198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/>
          <w:b w:val="0"/>
          <w:bCs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机构人员情况：</w:t>
      </w:r>
    </w:p>
    <w:p>
      <w:pPr>
        <w:autoSpaceDE w:val="0"/>
        <w:autoSpaceDN w:val="0"/>
        <w:adjustRightInd w:val="0"/>
        <w:spacing w:line="360" w:lineRule="auto"/>
        <w:ind w:firstLine="557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本单位内设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个机构，其中包括行政机构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个，事业单位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,1个执法机构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。截止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2022年12月31日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，本单位经县编委核定的编制人数为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人（其中行政编制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人，事业编制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人）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实有人数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人（行政编制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人，事业编制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人）。</w:t>
      </w:r>
    </w:p>
    <w:p>
      <w:pPr>
        <w:spacing w:line="560" w:lineRule="exact"/>
        <w:ind w:firstLine="793" w:firstLineChars="248"/>
        <w:rPr>
          <w:rFonts w:hint="eastAsia" w:ascii="仿宋" w:hAnsi="仿宋" w:eastAsia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/>
          <w:b w:val="0"/>
          <w:bCs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主要职能：</w:t>
      </w:r>
    </w:p>
    <w:p>
      <w:pPr>
        <w:autoSpaceDE w:val="0"/>
        <w:autoSpaceDN w:val="0"/>
        <w:adjustRightInd w:val="0"/>
        <w:spacing w:line="360" w:lineRule="auto"/>
        <w:ind w:firstLine="557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全面贯彻执行党和政府的路线方针政策，特别是贯彻执行党在农村的基本政策，农村土地承包政策；计划生育、严格保护耕地、环境保护等基本国策；减负支农及税费等政策。</w:t>
      </w:r>
    </w:p>
    <w:p>
      <w:pPr>
        <w:autoSpaceDE w:val="0"/>
        <w:autoSpaceDN w:val="0"/>
        <w:adjustRightInd w:val="0"/>
        <w:spacing w:line="360" w:lineRule="auto"/>
        <w:ind w:firstLine="557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发展经济。制定并组织实施好乡村整体规划和经济发展规划，促进农村经济良性运行和健康发展；积极引导农民发展生产；培育各种形式的农民专业合作新型经济组织。</w:t>
      </w:r>
    </w:p>
    <w:p>
      <w:pPr>
        <w:autoSpaceDE w:val="0"/>
        <w:autoSpaceDN w:val="0"/>
        <w:adjustRightInd w:val="0"/>
        <w:spacing w:line="360" w:lineRule="auto"/>
        <w:ind w:firstLine="557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社会服务。组织实施农田水利和乡村道路等基础设施建设，改善农村生产生活条件；加强教育文化卫生体育等社会事业建设，构建与乡经济发展水平相适应的农村社会救助和社会保障体系。</w:t>
      </w:r>
    </w:p>
    <w:p>
      <w:pPr>
        <w:autoSpaceDE w:val="0"/>
        <w:autoSpaceDN w:val="0"/>
        <w:adjustRightInd w:val="0"/>
        <w:spacing w:line="360" w:lineRule="auto"/>
        <w:ind w:firstLine="557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维护稳定。切实做好群众来信来访，排查调处农村各种矛盾纠纷，促进农村社会和谐平安；落实好社会治安综合治理工作各项措施，维护社会稳定；抓好安全生产。</w:t>
      </w:r>
    </w:p>
    <w:p>
      <w:pPr>
        <w:autoSpaceDE w:val="0"/>
        <w:autoSpaceDN w:val="0"/>
        <w:adjustRightInd w:val="0"/>
        <w:spacing w:line="360" w:lineRule="auto"/>
        <w:ind w:firstLine="557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贯彻执行上级财政部门各项方针政策；拟定乡财务管理制度；指导和监督村组财务管理、培训。</w:t>
      </w:r>
    </w:p>
    <w:p>
      <w:pPr>
        <w:autoSpaceDE w:val="0"/>
        <w:autoSpaceDN w:val="0"/>
        <w:adjustRightInd w:val="0"/>
        <w:spacing w:line="360" w:lineRule="auto"/>
        <w:ind w:firstLine="557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乡村振兴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。按照省市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振兴办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和县委县政府工作要求，做好本年度项目实施管理工作以及我乡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脱贫攻坚和乡村振兴衔接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工作。</w:t>
      </w:r>
    </w:p>
    <w:p>
      <w:pPr>
        <w:ind w:firstLine="640" w:firstLineChars="200"/>
        <w:rPr>
          <w:rFonts w:hint="eastAsia" w:ascii="仿宋" w:hAnsi="仿宋" w:eastAsia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完成其它临时性工作。</w:t>
      </w:r>
    </w:p>
    <w:p>
      <w:pPr>
        <w:spacing w:line="560" w:lineRule="exact"/>
        <w:ind w:firstLine="793" w:firstLineChars="248"/>
        <w:rPr>
          <w:rFonts w:hint="eastAsia" w:ascii="仿宋" w:hAnsi="仿宋" w:eastAsia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3</w:t>
      </w:r>
      <w:r>
        <w:rPr>
          <w:rFonts w:hint="eastAsia" w:ascii="仿宋" w:hAnsi="仿宋" w:eastAsia="仿宋"/>
          <w:b w:val="0"/>
          <w:bCs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重点工作计划：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）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pacing w:val="-2"/>
          <w:sz w:val="32"/>
          <w:szCs w:val="32"/>
        </w:rPr>
        <w:t>是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巩固脱贫攻坚成果和建设美丽乡村</w:t>
      </w:r>
      <w:r>
        <w:rPr>
          <w:rFonts w:hint="eastAsia" w:ascii="仿宋" w:hAnsi="仿宋" w:eastAsia="仿宋"/>
          <w:spacing w:val="-2"/>
          <w:sz w:val="32"/>
          <w:szCs w:val="32"/>
        </w:rPr>
        <w:t>的</w:t>
      </w:r>
      <w:r>
        <w:rPr>
          <w:rFonts w:hint="eastAsia" w:ascii="仿宋" w:hAnsi="仿宋" w:eastAsia="仿宋"/>
          <w:spacing w:val="-2"/>
          <w:sz w:val="32"/>
          <w:szCs w:val="32"/>
          <w:lang w:eastAsia="zh-CN"/>
        </w:rPr>
        <w:t>重要一年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pacing w:val="-2"/>
          <w:sz w:val="32"/>
          <w:szCs w:val="32"/>
        </w:rPr>
        <w:t>扎实开展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乡村振兴</w:t>
      </w:r>
      <w:r>
        <w:rPr>
          <w:rFonts w:hint="eastAsia" w:ascii="仿宋" w:hAnsi="仿宋" w:eastAsia="仿宋"/>
          <w:spacing w:val="-2"/>
          <w:sz w:val="32"/>
          <w:szCs w:val="32"/>
        </w:rPr>
        <w:t>工作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是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我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党委、政府的中心工作。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）继续推进基础设施建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设项目建设。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）围绕打造服务型政府，强化队伍、转变作风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切实抓好各项基本基础工作不动摇。</w:t>
      </w:r>
    </w:p>
    <w:p>
      <w:pPr>
        <w:spacing w:line="560" w:lineRule="exact"/>
        <w:ind w:firstLine="473" w:firstLineChars="148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（二）部门整体支出规模、使用方向和主要内容、涉及范围等。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关于 202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年整体支出规模情况。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年年度收入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1756.11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万元，年初结转和结余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val="en-US" w:eastAsia="zh-CN"/>
        </w:rPr>
        <w:t>15.76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万元，共支出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1771.87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万元。其中：基本支出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57.93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万元，项目支出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913.94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万元。严格控制三公经费，共支出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26.66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万元，未超过控制线。</w:t>
      </w:r>
    </w:p>
    <w:p>
      <w:pPr>
        <w:numPr>
          <w:ilvl w:val="0"/>
          <w:numId w:val="0"/>
        </w:numPr>
        <w:spacing w:line="560" w:lineRule="exact"/>
        <w:ind w:left="549" w:leftChars="0" w:firstLine="320" w:firstLineChars="1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资金使用方向和主要内容、涉及范围。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基本支出。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年年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末决算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数为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857.93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万元，是指为保障单位机构正常运转、完成日常工作任务而发生的各项支出，包括用于基本工资、津贴等人员经费以及办公费、印刷费、水电费、办公设备购置等日常公用经费。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项目支出。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年年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末决算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数为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913.94</w:t>
      </w: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万元，是指单位为完成特定行政工作任务或事业发展目标而发生的支出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33" w:firstLineChars="198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二、部门整体支出管理及使用情况</w:t>
      </w:r>
    </w:p>
    <w:p>
      <w:pPr>
        <w:spacing w:line="560" w:lineRule="exact"/>
        <w:ind w:firstLine="473" w:firstLineChars="148"/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（一）基本支出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基本支出主要用于发放人员工资、办公行政、公务接待、公务用车运行维护、生活补助、电费等日常支出。202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年共支出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842.18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万元。其中：工资福利支出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594.48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万元；商品和服务支出为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172.02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万元；对个人和家庭补助支出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75.68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万元。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年“三公“经费总额为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26.66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万元。其中：公务用车运行维护费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6.66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万元，公务接待费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万元。因我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严格执行“厉行节约、反对浪费”的规定，严格控制“三公”经费支出，加强公务用车管理，所以“三公经费”使用情况符合县建议支出数，未超过标准。</w:t>
      </w:r>
    </w:p>
    <w:p>
      <w:pPr>
        <w:spacing w:line="560" w:lineRule="exact"/>
        <w:ind w:firstLine="473" w:firstLineChars="148"/>
        <w:rPr>
          <w:rFonts w:hint="eastAsia" w:ascii="仿宋" w:hAnsi="仿宋" w:eastAsia="仿宋"/>
          <w:b/>
          <w:color w:val="333333"/>
          <w:spacing w:val="-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（二）项目支出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年我乡专项支出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913.94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万元。其中一般公共服务支出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385.08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万元，农林水支出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eastAsia="zh-CN"/>
        </w:rPr>
        <w:t>480.86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万元（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支出用于农村基础设施建设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），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eastAsia="zh-CN"/>
        </w:rPr>
        <w:t>节能环保支出</w:t>
      </w:r>
      <w:r>
        <w:rPr>
          <w:rFonts w:hint="eastAsia" w:ascii="仿宋" w:hAnsi="仿宋" w:eastAsia="仿宋"/>
          <w:color w:val="FF0000"/>
          <w:kern w:val="0"/>
          <w:sz w:val="32"/>
          <w:szCs w:val="32"/>
          <w:lang w:val="en-US" w:eastAsia="zh-CN"/>
        </w:rPr>
        <w:t>15万元，城乡社区支出33万元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。为做到专款专用，我乡制定了专项资金管理制度，明确了专项支出审批程序，加强了专项资金的监管。</w:t>
      </w:r>
    </w:p>
    <w:p>
      <w:pPr>
        <w:spacing w:line="560" w:lineRule="exact"/>
        <w:ind w:firstLine="633" w:firstLineChars="198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三、部门专项组织实施情况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专项组织情况分析。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我镇扶贫支出支出，均用在基础设施、养殖产业发展等方面。对扶贫项目实施情况都通过了投资评审、竣工验收等程序。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b/>
          <w:spacing w:val="-2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专项管理情况分析。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为切实规范专项资金管理，保障资金安全、高效运行，发挥资金使用效益，特制定以下管理制度：（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）专项资金实行“专人管理、专户储存、专账核算、专项使用”。（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）资金的拨付本着专款专用的原则，严格执行项目资金批准的使用计划和项目批复内容，不准擅自调项、扩项、缩项，更不准拆借、挪用、挤占和随意扣压；资金拨付动向，按不同专项资金的要求执行，不准任意改变；特殊情况，必须请示。（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）严格专项资金初审、审核、审核制度，不准缺项和越程序办理手续，各类专项资金审批程序，以该专项资金审批表所列内容和文件要求为准。（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）专项资金报账拨付要附真实、有效、合法的凭证。</w:t>
      </w:r>
    </w:p>
    <w:p>
      <w:pPr>
        <w:spacing w:line="560" w:lineRule="exact"/>
        <w:ind w:firstLine="633" w:firstLineChars="198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四、资产管理情况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为规范固定资产管理，实现固定资产的优化配置，我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制定了固定资产管理制度，固定资产指定专人管理，及时登记，科学使用，每年年末对固定资产进行清查盘点，国定资产的调出、处置、报废、报损严格执行国家有关规定的审批程序办理。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/>
          <w:spacing w:val="-2"/>
          <w:sz w:val="30"/>
          <w:szCs w:val="30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大合坪乡人民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eastAsia="zh-CN"/>
        </w:rPr>
        <w:t>202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eastAsia="zh-CN"/>
        </w:rPr>
        <w:t>年底资产共计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val="en-US" w:eastAsia="zh-CN"/>
        </w:rPr>
        <w:t>7570.60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eastAsia="zh-CN"/>
        </w:rPr>
        <w:t>万元，包括流动资产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val="en-US" w:eastAsia="zh-CN"/>
        </w:rPr>
        <w:t>1859.09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eastAsia="zh-CN"/>
        </w:rPr>
        <w:t>万元(其中：财政应返额度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val="en-US" w:eastAsia="zh-CN"/>
        </w:rPr>
        <w:t>777.53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eastAsia="zh-CN"/>
        </w:rPr>
        <w:t>万元，其他应收款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val="en-US" w:eastAsia="zh-CN"/>
        </w:rPr>
        <w:t>1081.56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eastAsia="zh-CN"/>
        </w:rPr>
        <w:t>万元)，固定资产原值合计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val="en-US" w:eastAsia="zh-CN"/>
        </w:rPr>
        <w:t>233.20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eastAsia="zh-CN"/>
        </w:rPr>
        <w:t>万元,</w:t>
      </w:r>
      <w:bookmarkStart w:id="0" w:name="_GoBack"/>
      <w:bookmarkEnd w:id="0"/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eastAsia="zh-CN"/>
        </w:rPr>
        <w:t>累计折旧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highlight w:val="yellow"/>
          <w:lang w:val="en-US" w:eastAsia="zh-CN"/>
        </w:rPr>
        <w:t>72.69万元，净值160.5万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元，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其中房屋类资产，总面积账面数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1150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平方米，净值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140.66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万元。2、其他办公设备净值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20.85万元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33" w:firstLineChars="198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五、部门整体支出绩效情况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（一）抓好全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乡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产业结构调整。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重视并继续加强对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黄花菜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黄桃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红薯加工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等新兴产业的扶持力度，鼓励各村结合实际发展本村特色农业、优势农业。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（二）粮食生产方面。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农业是生命线,抓好粮食生产工作，对维护社会稳定起着重要作用。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政府高度重视，认真贯彻落实国家的支农惠农政策。一方面组织抓好良种补贴发放工作,另一方面为确保粮食增产增收，镇农技站大力推广良种种植，开展科技种植示范样板建设，注重农作物病虫害防治，抓好农作物中耕管理，确保粮食安全稳定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（三）养殖业生产方面。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畜牧业是带动群众增收的一项支柱产业，在群众增收的产业中有不可替代的作用。我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坚持走“科技养殖”之路，增强养殖业发展动力。抓好春、秋防疫工作，确保防疫密度，主要疫苗注射率均达100%，切实防控动物疫病的发生，全年未发生1起大规模动物疫情。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（四）加快基础建设。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一是历年来借冬春水利建设之机，多渠道争取资金，发动群众掀起农田水利建设热潮，对全镇水利工程进行整复修，及时对受临路建设影响无法耕种的土地、需要修复的沟渠、复垦田地等问题进行协调，妥善的解决；二是积极做好防汛工作，对辖区的骨干山塘进行了全面清障。三是道路交通建设。极大改善了村级公路，方便了老百姓的日食住行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文化建设、经济建设、生态建设共同发展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一是</w:t>
      </w:r>
      <w:r>
        <w:rPr>
          <w:rFonts w:hint="eastAsia" w:ascii="仿宋" w:hAnsi="仿宋" w:eastAsia="仿宋" w:cs="仿宋"/>
          <w:sz w:val="30"/>
          <w:szCs w:val="30"/>
        </w:rPr>
        <w:t>通过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</w:rPr>
        <w:t>政府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张贴标语、悬挂横幅等方式</w:t>
      </w:r>
      <w:r>
        <w:rPr>
          <w:rFonts w:hint="eastAsia" w:ascii="仿宋" w:hAnsi="仿宋" w:eastAsia="仿宋" w:cs="仿宋"/>
          <w:sz w:val="30"/>
          <w:szCs w:val="30"/>
        </w:rPr>
        <w:t>宣传核心价值观，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二是</w:t>
      </w:r>
      <w:r>
        <w:rPr>
          <w:rFonts w:hint="eastAsia" w:ascii="仿宋" w:hAnsi="仿宋" w:eastAsia="仿宋" w:cs="仿宋"/>
          <w:sz w:val="30"/>
          <w:szCs w:val="30"/>
        </w:rPr>
        <w:t>通过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定期举行宣传</w:t>
      </w:r>
      <w:r>
        <w:rPr>
          <w:rFonts w:hint="eastAsia" w:ascii="仿宋" w:hAnsi="仿宋" w:eastAsia="仿宋" w:cs="仿宋"/>
          <w:sz w:val="30"/>
          <w:szCs w:val="30"/>
        </w:rPr>
        <w:t>活动，集中宣传社会主义核心价值观。如：每年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在集镇发放宣传手册等方式，</w:t>
      </w:r>
      <w:r>
        <w:rPr>
          <w:rFonts w:hint="eastAsia" w:ascii="仿宋" w:hAnsi="仿宋" w:eastAsia="仿宋" w:cs="仿宋"/>
          <w:sz w:val="30"/>
          <w:szCs w:val="30"/>
        </w:rPr>
        <w:t>多次开展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文化宣传</w:t>
      </w:r>
      <w:r>
        <w:rPr>
          <w:rFonts w:hint="eastAsia" w:ascii="仿宋" w:hAnsi="仿宋" w:eastAsia="仿宋" w:cs="仿宋"/>
          <w:sz w:val="30"/>
          <w:szCs w:val="30"/>
        </w:rPr>
        <w:t>活动。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三是</w:t>
      </w:r>
      <w:r>
        <w:rPr>
          <w:rFonts w:hint="eastAsia" w:ascii="仿宋" w:hAnsi="仿宋" w:eastAsia="仿宋" w:cs="仿宋"/>
          <w:sz w:val="30"/>
          <w:szCs w:val="30"/>
        </w:rPr>
        <w:t>不断建立、完善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</w:rPr>
        <w:t>村级文化活动中心，完善图书馆建设。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四是</w:t>
      </w:r>
      <w:r>
        <w:rPr>
          <w:rFonts w:hint="eastAsia" w:ascii="仿宋" w:hAnsi="仿宋" w:eastAsia="仿宋" w:cs="仿宋"/>
          <w:sz w:val="30"/>
          <w:szCs w:val="30"/>
        </w:rPr>
        <w:t>坚持不懈抓创卫。今年全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</w:rPr>
        <w:t>各村建立至少1名的专职保洁队伍，组织全体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</w:rPr>
        <w:t>、村干部集中开展了环境卫生集中整治活动，有效制止了乱堆乱放、乱排污水、散养畜禽的现象。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（六）工会、妇儿、共青团等工作。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工会班子健全，职工入会率达100%。在共青团建设方面坚持党建带团建，团的组织网络日益健全，逐步建立壮大本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自己的青年志愿者队伍。妇联工作有声有色获得多项单位、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个人荣誉。</w:t>
      </w:r>
    </w:p>
    <w:p>
      <w:pPr>
        <w:spacing w:line="560" w:lineRule="exact"/>
        <w:ind w:firstLine="633" w:firstLineChars="198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六、部门整体支出绩效评价结果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sz w:val="30"/>
          <w:szCs w:val="30"/>
          <w:highlight w:val="yellow"/>
        </w:rPr>
        <w:t>我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  <w:highlight w:val="yellow"/>
        </w:rPr>
        <w:t>部门整体支出绩效评价指标得分9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highlight w:val="yellow"/>
        </w:rPr>
        <w:t>分，评价为良好。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highlight w:val="yellow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yellow"/>
        </w:rPr>
        <w:t>扣分方面：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预决算信息公开性中基础数据信息和会计信息资料完整不足</w:t>
      </w:r>
      <w:r>
        <w:rPr>
          <w:rFonts w:hint="eastAsia" w:ascii="仿宋" w:hAnsi="仿宋" w:eastAsia="仿宋" w:cs="仿宋"/>
          <w:sz w:val="30"/>
          <w:szCs w:val="30"/>
          <w:highlight w:val="yellow"/>
        </w:rPr>
        <w:t>，故该项扣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yellow"/>
        </w:rPr>
        <w:t>分</w:t>
      </w:r>
      <w:r>
        <w:rPr>
          <w:rFonts w:hint="eastAsia" w:ascii="仿宋" w:hAnsi="仿宋" w:eastAsia="仿宋" w:cs="仿宋"/>
          <w:sz w:val="30"/>
          <w:szCs w:val="30"/>
          <w:highlight w:val="yellow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资产管理完整性中</w:t>
      </w:r>
      <w:r>
        <w:rPr>
          <w:rFonts w:hint="eastAsia" w:ascii="仿宋" w:hAnsi="仿宋" w:eastAsia="仿宋" w:cs="仿宋"/>
          <w:sz w:val="30"/>
          <w:szCs w:val="30"/>
          <w:highlight w:val="yellow"/>
        </w:rPr>
        <w:t>单位资产管理制度完整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性不足，故该项扣1分；</w:t>
      </w:r>
      <w:r>
        <w:rPr>
          <w:rFonts w:hint="eastAsia" w:ascii="仿宋" w:hAnsi="仿宋" w:eastAsia="仿宋" w:cs="仿宋"/>
          <w:sz w:val="30"/>
          <w:szCs w:val="30"/>
          <w:highlight w:val="yellow"/>
        </w:rPr>
        <w:t>固定资产登记率</w:t>
      </w:r>
      <w:r>
        <w:rPr>
          <w:rFonts w:hint="eastAsia" w:ascii="仿宋" w:hAnsi="仿宋" w:eastAsia="仿宋" w:cs="仿宋"/>
          <w:sz w:val="30"/>
          <w:szCs w:val="30"/>
          <w:highlight w:val="yellow"/>
          <w:lang w:eastAsia="zh-CN"/>
        </w:rPr>
        <w:t>不足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100%</w:t>
      </w:r>
      <w:r>
        <w:rPr>
          <w:rFonts w:hint="eastAsia" w:ascii="仿宋" w:hAnsi="仿宋" w:eastAsia="仿宋" w:cs="仿宋"/>
          <w:sz w:val="30"/>
          <w:szCs w:val="30"/>
          <w:highlight w:val="yellow"/>
        </w:rPr>
        <w:t>，故该项扣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yellow"/>
        </w:rPr>
        <w:t>分</w:t>
      </w:r>
      <w:r>
        <w:rPr>
          <w:rFonts w:hint="eastAsia" w:ascii="仿宋" w:hAnsi="仿宋" w:eastAsia="仿宋" w:cs="仿宋"/>
          <w:sz w:val="30"/>
          <w:szCs w:val="30"/>
          <w:highlight w:val="yellow"/>
          <w:lang w:eastAsia="zh-CN"/>
        </w:rPr>
        <w:t>。</w:t>
      </w:r>
    </w:p>
    <w:p>
      <w:pPr>
        <w:spacing w:line="560" w:lineRule="exact"/>
        <w:ind w:firstLine="633" w:firstLineChars="198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、存在的主要问题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（一）财政收入有限，经济发展力度不够。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级的财政时常陷入困境、入不敷出。然而经济社会的发展却一刻也离不开资金支持，无论是迁村并点还是建厂办园，无论是筑桥铺路还是盖楼建校，无论是公共服务还是公益事业，离开了资金都将是空谈。单纯依靠上级财政拨付，维持机关运转尚且困难，更别谈产业机构调整。由此也导致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政府资金紧张问题。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（二）财务预算管理制度不健全。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财政工作的对象十分复杂，而没有准确、科学的财务预算管理作为保障就极易造成资金、物资等资源的浪费，而目前在财务预算的编制上，往往是为了预算而预算，忽视预算与实际工作需要的一致性，致使多次追加预算，预算完成率却不高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（三）内部控制制度不健全。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财政内部控制与财政管理工作不适应，因为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财政管理工作涉及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资金管理的全过程，二财政内部控制却只包含资金管理的部分过程，所以造成内部控制与财政管理的范围不匹配；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财政内部控制不能得到顺利落实，使财政内部控制不能发挥应有的作用；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财政内部控制配套设施不足，减弱了内部控制的执行力度，阻碍了经济的持续发展。</w:t>
      </w:r>
    </w:p>
    <w:p>
      <w:pPr>
        <w:spacing w:line="560" w:lineRule="exact"/>
        <w:ind w:firstLine="633" w:firstLineChars="198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、改进措施和有关建议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一）大力发展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乡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经济，拓宽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乡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财源。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大力调整农业生产结构，引导农民根据市场组织生产，发展自己的优势农业；大力发展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乡产业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，引导部分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乡产业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围绕调整和优化农业产业结构，开过农产品深加工和销售市场；大力发展个体私营经济，为农村个体私营经济的发展创造宽松的外部环境，使个体私营经济成为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经济发展的新力量。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（二）加大制度建设，夯实工作基础。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完善内部管理制度，严格把控“三公经费”的使用，建立岗位责任制，进一步明确相关人员的职责分工，各司其职，便于发挥财政管理工作的监督职能，对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资金加强管理，特别是对专项资金的使用要及时跟踪、检查，确保专款专用；梳理、细化以往账目，为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制度切实可行的财务预算计划，确保资金使用的能效。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（三）增强人员素质，规范管理体系。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在人员培养上，积极参加上级组织的业务员培训，提高工作的针对性和有效性；加强财务管理信息化建设，完善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财务数据库和管理系统，用制度规范言行；在人员的考核上，严格考核标准，注重工作的实效，提高考核的准确性和公正性。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560" w:lineRule="exact"/>
        <w:ind w:firstLine="5100" w:firstLineChars="17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沅陵县大合坪乡人民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政府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                            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06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both"/>
        <w:textAlignment w:val="auto"/>
        <w:rPr>
          <w:rFonts w:hint="default"/>
          <w:b/>
          <w:color w:val="FF0000"/>
          <w:spacing w:val="-11"/>
          <w:w w:val="66"/>
          <w:kern w:val="0"/>
          <w:position w:val="-6"/>
          <w:sz w:val="136"/>
          <w:szCs w:val="144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8AAEA"/>
    <w:multiLevelType w:val="singleLevel"/>
    <w:tmpl w:val="6B88AAE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YWMyZWY1YTNjZDc4MGUyNTM1MDcxZTkxNGQyZjQifQ=="/>
  </w:docVars>
  <w:rsids>
    <w:rsidRoot w:val="00000000"/>
    <w:rsid w:val="054B41BB"/>
    <w:rsid w:val="079538F3"/>
    <w:rsid w:val="12D66762"/>
    <w:rsid w:val="1CA23843"/>
    <w:rsid w:val="225B65E6"/>
    <w:rsid w:val="24DD5397"/>
    <w:rsid w:val="27374807"/>
    <w:rsid w:val="3A524910"/>
    <w:rsid w:val="3AB82A58"/>
    <w:rsid w:val="43164C0E"/>
    <w:rsid w:val="555930C3"/>
    <w:rsid w:val="55E2725E"/>
    <w:rsid w:val="597E011D"/>
    <w:rsid w:val="61F50F4C"/>
    <w:rsid w:val="65DB01AD"/>
    <w:rsid w:val="69A32585"/>
    <w:rsid w:val="6DEE30FC"/>
    <w:rsid w:val="77FDD5AA"/>
    <w:rsid w:val="7BD9987F"/>
    <w:rsid w:val="9DFB2A78"/>
    <w:rsid w:val="ABFEEBE3"/>
    <w:rsid w:val="B7BFB2A8"/>
    <w:rsid w:val="DEEFC7DD"/>
    <w:rsid w:val="DFF7CCDA"/>
    <w:rsid w:val="EDBB3593"/>
    <w:rsid w:val="EFDE778C"/>
    <w:rsid w:val="F7DB54CF"/>
    <w:rsid w:val="F8CCDFA5"/>
    <w:rsid w:val="FB97CFBA"/>
    <w:rsid w:val="FD95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3868</Words>
  <Characters>4065</Characters>
  <Lines>0</Lines>
  <Paragraphs>0</Paragraphs>
  <TotalTime>650</TotalTime>
  <ScaleCrop>false</ScaleCrop>
  <LinksUpToDate>false</LinksUpToDate>
  <CharactersWithSpaces>4101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2021-06-23T16:52:00Z</dcterms:created>
  <dc:creator>Administrator</dc:creator>
  <cp:lastModifiedBy>kylin</cp:lastModifiedBy>
  <cp:lastPrinted>2021-06-25T22:48:00Z</cp:lastPrinted>
  <dcterms:modified xsi:type="dcterms:W3CDTF">2023-10-18T16:02:09Z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D97CB471BF0948B28A4C0F974D704D34</vt:lpwstr>
  </property>
</Properties>
</file>