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5C1AD">
      <w:pPr>
        <w:widowControl/>
        <w:shd w:val="clear" w:color="auto" w:fill="FFFFFF"/>
        <w:spacing w:line="600" w:lineRule="exact"/>
        <w:jc w:val="center"/>
        <w:rPr>
          <w:rFonts w:asciiTheme="majorEastAsia" w:hAnsiTheme="majorEastAsia" w:eastAsiaTheme="majorEastAsia" w:cstheme="majorEastAsia"/>
          <w:b/>
          <w:spacing w:val="-2"/>
          <w:sz w:val="40"/>
          <w:szCs w:val="40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spacing w:val="-2"/>
          <w:sz w:val="40"/>
          <w:szCs w:val="40"/>
          <w:highlight w:val="none"/>
        </w:rPr>
        <w:t>五强溪镇2025年部门整体支出绩效自评报告</w:t>
      </w:r>
    </w:p>
    <w:p w14:paraId="23599B48">
      <w:pPr>
        <w:pStyle w:val="4"/>
        <w:spacing w:line="600" w:lineRule="exact"/>
        <w:rPr>
          <w:highlight w:val="none"/>
        </w:rPr>
      </w:pPr>
    </w:p>
    <w:p w14:paraId="7567555C">
      <w:pPr>
        <w:spacing w:line="560" w:lineRule="exact"/>
        <w:ind w:firstLine="640" w:firstLineChars="200"/>
        <w:rPr>
          <w:rFonts w:ascii="仿宋_GB2312" w:hAnsi="仿宋_GB2312" w:cs="仿宋_GB2312"/>
          <w:b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bCs/>
          <w:szCs w:val="32"/>
          <w:highlight w:val="none"/>
        </w:rPr>
        <w:t>根据《预算法》有关“各级政府、各部门、各单位应当对预算支出情况开展绩效评价”的规定及县财政局《沅陵县财政局关于开展2025年度部门整体支出和专项支出绩效自评工作的通知》（</w:t>
      </w:r>
      <w:r>
        <w:rPr>
          <w:rFonts w:hint="eastAsia" w:ascii="仿宋_GB2312" w:hAnsi="仿宋_GB2312" w:cs="仿宋_GB2312"/>
          <w:szCs w:val="32"/>
          <w:highlight w:val="none"/>
        </w:rPr>
        <w:t>沅财绩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〔2026〕24号</w:t>
      </w:r>
      <w:r>
        <w:rPr>
          <w:rFonts w:hint="eastAsia" w:ascii="仿宋_GB2312" w:hAnsi="仿宋_GB2312" w:cs="仿宋_GB2312"/>
          <w:bCs/>
          <w:szCs w:val="32"/>
          <w:highlight w:val="none"/>
        </w:rPr>
        <w:t>）文件精神，我单位对部门整体支出进行了绩效评价</w:t>
      </w:r>
      <w:r>
        <w:rPr>
          <w:rFonts w:hint="eastAsia" w:ascii="仿宋_GB2312" w:hAnsi="仿宋_GB2312" w:cs="仿宋_GB2312"/>
          <w:bCs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bCs/>
          <w:szCs w:val="32"/>
          <w:highlight w:val="none"/>
        </w:rPr>
        <w:t>现将有关情况报告如下：</w:t>
      </w:r>
    </w:p>
    <w:p w14:paraId="18944DC8">
      <w:pPr>
        <w:widowControl/>
        <w:shd w:val="clear" w:color="auto" w:fill="FFFFFF"/>
        <w:ind w:firstLine="632" w:firstLineChars="200"/>
        <w:rPr>
          <w:rFonts w:ascii="黑体" w:hAnsi="黑体" w:eastAsia="黑体" w:cs="黑体"/>
          <w:bCs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Cs/>
          <w:spacing w:val="-2"/>
          <w:szCs w:val="32"/>
          <w:highlight w:val="none"/>
        </w:rPr>
        <w:t>一、部门概况</w:t>
      </w:r>
    </w:p>
    <w:p w14:paraId="32FD945B">
      <w:pPr>
        <w:rPr>
          <w:rFonts w:ascii="仿宋_GB2312" w:hAnsi="仿宋_GB2312" w:cs="仿宋_GB2312"/>
          <w:b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b/>
          <w:kern w:val="0"/>
          <w:szCs w:val="32"/>
          <w:highlight w:val="none"/>
        </w:rPr>
        <w:t xml:space="preserve">    </w:t>
      </w:r>
      <w:r>
        <w:rPr>
          <w:rFonts w:hint="eastAsia" w:ascii="楷体_GB2312" w:hAnsi="楷体_GB2312" w:eastAsia="楷体_GB2312" w:cs="楷体_GB2312"/>
          <w:bCs/>
          <w:kern w:val="0"/>
          <w:szCs w:val="32"/>
          <w:highlight w:val="none"/>
        </w:rPr>
        <w:t>（一）部门基本情况</w:t>
      </w:r>
    </w:p>
    <w:p w14:paraId="707655EE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 xml:space="preserve">    </w:t>
      </w:r>
      <w:r>
        <w:rPr>
          <w:rFonts w:hint="eastAsia" w:ascii="仿宋_GB2312" w:hAnsi="仿宋_GB2312" w:cs="仿宋_GB2312"/>
          <w:szCs w:val="32"/>
          <w:highlight w:val="none"/>
        </w:rPr>
        <w:t>本单位内设12个机构，其中包括行政机构6个，事业单位6个，分别为：共产党机关、行政机关等。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截至</w:t>
      </w:r>
      <w:r>
        <w:rPr>
          <w:rFonts w:hint="eastAsia" w:ascii="仿宋_GB2312" w:hAnsi="仿宋_GB2312" w:cs="仿宋_GB2312"/>
          <w:szCs w:val="32"/>
          <w:highlight w:val="none"/>
        </w:rPr>
        <w:t>2025年12月31日，本单位经县编委核定的编制人数为110人（其中行政编制40人，事业编制70人）。年末实有人数83人（行政编制34人，事业编制49人）。</w:t>
      </w:r>
    </w:p>
    <w:p w14:paraId="6D8E44A6">
      <w:pPr>
        <w:numPr>
          <w:ilvl w:val="0"/>
          <w:numId w:val="1"/>
        </w:numPr>
        <w:spacing w:line="560" w:lineRule="exact"/>
        <w:ind w:firstLine="640" w:firstLineChars="200"/>
        <w:rPr>
          <w:rFonts w:ascii="楷体" w:hAnsi="楷体" w:eastAsia="楷体" w:cs="楷体"/>
          <w:kern w:val="0"/>
          <w:szCs w:val="32"/>
          <w:highlight w:val="none"/>
        </w:rPr>
      </w:pPr>
      <w:r>
        <w:rPr>
          <w:rFonts w:hint="eastAsia" w:ascii="楷体" w:hAnsi="楷体" w:eastAsia="楷体" w:cs="楷体"/>
          <w:kern w:val="0"/>
          <w:szCs w:val="32"/>
          <w:highlight w:val="none"/>
        </w:rPr>
        <w:t>主要职能：</w:t>
      </w:r>
    </w:p>
    <w:p w14:paraId="469AFE16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1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制定和组织实施经济、社会发展计划，制定资源开发和产业结构调整方案，组织指导好各业生产，搞好商品流通，协调好本镇与外地区的经济交流与合作，抓好招商引资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cs="仿宋_GB2312"/>
          <w:szCs w:val="32"/>
          <w:highlight w:val="none"/>
        </w:rPr>
        <w:t>人才引进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、项目</w:t>
      </w:r>
      <w:r>
        <w:rPr>
          <w:rFonts w:hint="eastAsia" w:ascii="仿宋_GB2312" w:hAnsi="仿宋_GB2312" w:cs="仿宋_GB2312"/>
          <w:szCs w:val="32"/>
          <w:highlight w:val="none"/>
        </w:rPr>
        <w:t>开发，不断培育市场体系，组织经济运行，促进经济发展；</w:t>
      </w:r>
    </w:p>
    <w:p w14:paraId="0AE27A93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2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 xml:space="preserve">制定并组织实施村乡建设规划，部署重点工程建设，地方道路建设及公共设施，水利设施的管理，负责土地、林木、水等自然资源和生态环境的保护，做好护林防火工作；          </w:t>
      </w:r>
    </w:p>
    <w:p w14:paraId="7B570708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3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负责本行政区域内的民政、计划生育、文化教育、卫生、体育等社会公益事业的综合性工作，维护一切经济单位和个人的正当经济权益，取缔非法经济活动，调解和处理民事纠纷，打击刑事犯罪维护社会稳定；</w:t>
      </w:r>
    </w:p>
    <w:p w14:paraId="68A074B5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4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按计划组织本级财政收入和社会抚养费的征收，完成国家财政计划，管好财政资金，增强财政实力；</w:t>
      </w:r>
    </w:p>
    <w:p w14:paraId="22D0CA8F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5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 xml:space="preserve">抓好精神文明建设，丰富群众文化生活，提倡移风易俗，反对封建迷信，破除陈规陋习，树立社会主义新风尚；        </w:t>
      </w:r>
    </w:p>
    <w:p w14:paraId="3EDFDC7B">
      <w:pPr>
        <w:widowControl/>
        <w:shd w:val="clear" w:color="auto" w:fill="FFFFFF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     6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bookmarkStart w:id="0" w:name="_GoBack"/>
      <w:bookmarkEnd w:id="0"/>
      <w:r>
        <w:rPr>
          <w:rFonts w:hint="eastAsia" w:ascii="仿宋_GB2312" w:hAnsi="仿宋_GB2312" w:cs="仿宋_GB2312"/>
          <w:szCs w:val="32"/>
          <w:highlight w:val="none"/>
        </w:rPr>
        <w:t>完成上级政府交办的其它事项。</w:t>
      </w:r>
    </w:p>
    <w:p w14:paraId="1E38CC73">
      <w:pPr>
        <w:spacing w:line="560" w:lineRule="exact"/>
        <w:ind w:firstLine="640" w:firstLineChars="200"/>
        <w:rPr>
          <w:rFonts w:ascii="楷体" w:hAnsi="楷体" w:eastAsia="楷体" w:cs="楷体"/>
          <w:spacing w:val="-2"/>
          <w:szCs w:val="32"/>
          <w:highlight w:val="none"/>
        </w:rPr>
      </w:pPr>
      <w:r>
        <w:rPr>
          <w:rFonts w:hint="eastAsia" w:ascii="楷体" w:hAnsi="楷体" w:eastAsia="楷体" w:cs="楷体"/>
          <w:kern w:val="0"/>
          <w:szCs w:val="32"/>
          <w:highlight w:val="none"/>
        </w:rPr>
        <w:t>（三）</w:t>
      </w:r>
      <w:r>
        <w:rPr>
          <w:rFonts w:hint="eastAsia" w:ascii="楷体" w:hAnsi="楷体" w:eastAsia="楷体" w:cs="楷体"/>
          <w:spacing w:val="-2"/>
          <w:szCs w:val="32"/>
          <w:highlight w:val="none"/>
        </w:rPr>
        <w:t>重点工作计划：</w:t>
      </w:r>
    </w:p>
    <w:p w14:paraId="7647C7B8">
      <w:pPr>
        <w:spacing w:line="560" w:lineRule="exact"/>
        <w:rPr>
          <w:rFonts w:ascii="仿宋_GB2312" w:hAnsi="仿宋_GB2312" w:cs="仿宋_GB2312"/>
          <w:b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Cs w:val="32"/>
          <w:highlight w:val="none"/>
        </w:rPr>
        <w:t xml:space="preserve">     1.2025年是乡村振兴稳步推进的重要阶段，兴产业、提品质、</w:t>
      </w:r>
      <w:r>
        <w:rPr>
          <w:rFonts w:hint="eastAsia" w:ascii="仿宋_GB2312" w:hAnsi="仿宋_GB2312" w:cs="仿宋_GB2312"/>
          <w:szCs w:val="32"/>
          <w:highlight w:val="none"/>
        </w:rPr>
        <w:t>优环境、激活力</w:t>
      </w:r>
      <w:r>
        <w:rPr>
          <w:rFonts w:hint="eastAsia" w:ascii="仿宋_GB2312" w:hAnsi="仿宋_GB2312" w:cs="仿宋_GB2312"/>
          <w:kern w:val="0"/>
          <w:szCs w:val="32"/>
          <w:highlight w:val="none"/>
        </w:rPr>
        <w:t>是我镇党委、政府的中心工作。</w:t>
      </w:r>
    </w:p>
    <w:p w14:paraId="0111A1B6">
      <w:pPr>
        <w:numPr>
          <w:ilvl w:val="0"/>
          <w:numId w:val="2"/>
        </w:numPr>
        <w:spacing w:line="560" w:lineRule="exact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继续推进基础设施建设、</w:t>
      </w:r>
      <w:r>
        <w:rPr>
          <w:rFonts w:hint="eastAsia" w:ascii="仿宋_GB2312" w:hAnsi="仿宋_GB2312" w:cs="仿宋_GB2312"/>
          <w:kern w:val="0"/>
          <w:szCs w:val="32"/>
          <w:highlight w:val="none"/>
        </w:rPr>
        <w:t>项目建设</w:t>
      </w:r>
      <w:r>
        <w:rPr>
          <w:rFonts w:hint="eastAsia" w:ascii="仿宋_GB2312" w:hAnsi="仿宋_GB2312" w:cs="仿宋_GB2312"/>
          <w:szCs w:val="32"/>
          <w:highlight w:val="none"/>
        </w:rPr>
        <w:t>。</w:t>
      </w:r>
    </w:p>
    <w:p w14:paraId="3D164BA2">
      <w:pPr>
        <w:spacing w:line="560" w:lineRule="exact"/>
        <w:ind w:left="800"/>
        <w:rPr>
          <w:rFonts w:ascii="仿宋_GB2312" w:hAnsi="仿宋_GB2312" w:cs="仿宋_GB2312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3.</w:t>
      </w:r>
      <w:r>
        <w:rPr>
          <w:rFonts w:hint="eastAsia" w:ascii="仿宋_GB2312" w:hAnsi="仿宋_GB2312" w:cs="仿宋_GB2312"/>
          <w:kern w:val="0"/>
          <w:szCs w:val="32"/>
          <w:highlight w:val="none"/>
        </w:rPr>
        <w:t>围绕打造服务型政府，</w:t>
      </w:r>
      <w:r>
        <w:rPr>
          <w:rFonts w:hint="eastAsia" w:ascii="仿宋_GB2312" w:hAnsi="仿宋_GB2312" w:cs="仿宋_GB2312"/>
          <w:szCs w:val="32"/>
          <w:highlight w:val="none"/>
        </w:rPr>
        <w:t>强化队伍、转变作风，</w:t>
      </w:r>
      <w:r>
        <w:rPr>
          <w:rFonts w:hint="eastAsia" w:ascii="仿宋_GB2312" w:hAnsi="仿宋_GB2312" w:cs="仿宋_GB2312"/>
          <w:kern w:val="0"/>
          <w:szCs w:val="32"/>
          <w:highlight w:val="none"/>
        </w:rPr>
        <w:t>切实抓好各项基本基础工作不动摇。</w:t>
      </w:r>
    </w:p>
    <w:p w14:paraId="57FAEB22">
      <w:pPr>
        <w:widowControl/>
        <w:shd w:val="clear" w:color="auto" w:fill="FFFFFF"/>
        <w:rPr>
          <w:rFonts w:ascii="仿宋_GB2312" w:hAnsi="仿宋_GB2312" w:cs="仿宋_GB2312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Cs w:val="32"/>
          <w:highlight w:val="none"/>
        </w:rPr>
        <w:t xml:space="preserve">     4.部门整体支出规模、使用方向和主要内容、涉及范围等。</w:t>
      </w:r>
    </w:p>
    <w:p w14:paraId="1B38F622">
      <w:pPr>
        <w:widowControl/>
        <w:shd w:val="clear" w:color="auto" w:fill="FFFFFF"/>
        <w:rPr>
          <w:rFonts w:ascii="仿宋_GB2312" w:hAnsi="仿宋_GB2312" w:cs="仿宋_GB2312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Cs w:val="32"/>
          <w:highlight w:val="none"/>
        </w:rPr>
        <w:t xml:space="preserve">    (1)关于2025年整体支出规模情况。</w:t>
      </w:r>
    </w:p>
    <w:p w14:paraId="0F7335FB">
      <w:pPr>
        <w:spacing w:line="560" w:lineRule="exact"/>
        <w:ind w:firstLine="632" w:firstLineChars="20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2025年年度收入5087.06万元，共支出5087.06万元。其中：基本支出4459.5万元，项目支出627.56万元。严格控制</w:t>
      </w:r>
      <w:r>
        <w:rPr>
          <w:rFonts w:hint="eastAsia" w:ascii="仿宋_GB2312" w:hAnsi="仿宋_GB2312" w:cs="仿宋_GB2312"/>
          <w:spacing w:val="-2"/>
          <w:szCs w:val="32"/>
          <w:highlight w:val="none"/>
          <w:lang w:eastAsia="zh-CN"/>
        </w:rPr>
        <w:t>“三公”经费</w:t>
      </w:r>
      <w:r>
        <w:rPr>
          <w:rFonts w:hint="eastAsia" w:ascii="仿宋_GB2312" w:hAnsi="仿宋_GB2312" w:cs="仿宋_GB2312"/>
          <w:spacing w:val="-2"/>
          <w:szCs w:val="32"/>
          <w:highlight w:val="none"/>
        </w:rPr>
        <w:t>，共支出0万元，未超过控制线。</w:t>
      </w:r>
    </w:p>
    <w:p w14:paraId="593C7155">
      <w:pPr>
        <w:spacing w:line="560" w:lineRule="exact"/>
        <w:ind w:firstLine="632" w:firstLineChars="20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(2)资金使用方向和主要内容、涉及范围。</w:t>
      </w:r>
    </w:p>
    <w:p w14:paraId="60277524">
      <w:pPr>
        <w:spacing w:line="560" w:lineRule="exact"/>
        <w:ind w:firstLine="640" w:firstLineChars="200"/>
        <w:rPr>
          <w:rFonts w:ascii="仿宋_GB2312" w:hAnsi="仿宋_GB2312" w:cs="仿宋_GB2312"/>
          <w:color w:val="000000"/>
          <w:kern w:val="0"/>
          <w:szCs w:val="32"/>
          <w:highlight w:val="none"/>
        </w:rPr>
      </w:pPr>
      <w:r>
        <w:rPr>
          <w:rFonts w:hint="eastAsia" w:ascii="楷体" w:hAnsi="楷体" w:eastAsia="楷体" w:cs="楷体"/>
          <w:color w:val="333333"/>
          <w:kern w:val="0"/>
          <w:szCs w:val="32"/>
          <w:highlight w:val="none"/>
        </w:rPr>
        <w:t>基本支出。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</w:rPr>
        <w:t>2025年年末决算数为4459.5万元，是指为保障单位机构正常运转、完成日常工作任务而发生的各项支出，包括用于基本工资、津贴等人员经费以及办公费、印刷费、水电费、办公设备购置等日常公用经费。</w:t>
      </w:r>
    </w:p>
    <w:p w14:paraId="5F0F38D0">
      <w:pPr>
        <w:spacing w:line="560" w:lineRule="exact"/>
        <w:ind w:firstLine="640" w:firstLineChars="200"/>
        <w:rPr>
          <w:rFonts w:ascii="仿宋_GB2312" w:hAnsi="仿宋_GB2312" w:cs="仿宋_GB2312"/>
          <w:color w:val="000000"/>
          <w:kern w:val="0"/>
          <w:szCs w:val="32"/>
          <w:highlight w:val="none"/>
        </w:rPr>
      </w:pPr>
      <w:r>
        <w:rPr>
          <w:rFonts w:hint="eastAsia" w:ascii="楷体" w:hAnsi="楷体" w:eastAsia="楷体" w:cs="楷体"/>
          <w:color w:val="333333"/>
          <w:kern w:val="0"/>
          <w:szCs w:val="32"/>
          <w:highlight w:val="none"/>
        </w:rPr>
        <w:t>项目支出。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</w:rPr>
        <w:t>2025年年末决算数为</w:t>
      </w:r>
      <w:r>
        <w:rPr>
          <w:rFonts w:hint="eastAsia" w:ascii="仿宋_GB2312" w:hAnsi="仿宋_GB2312" w:cs="仿宋_GB2312"/>
          <w:spacing w:val="-2"/>
          <w:szCs w:val="32"/>
          <w:highlight w:val="none"/>
        </w:rPr>
        <w:t>627.56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</w:rPr>
        <w:t>万元，是指单位为完成特定行政工作任务或事业发展目标而发生的支出。</w:t>
      </w:r>
    </w:p>
    <w:p w14:paraId="39BA677D">
      <w:pPr>
        <w:shd w:val="clear" w:color="auto" w:fill="FFFFFF"/>
        <w:spacing w:line="560" w:lineRule="exact"/>
        <w:ind w:firstLine="635" w:firstLineChars="200"/>
        <w:rPr>
          <w:rFonts w:ascii="黑体" w:hAnsi="黑体" w:eastAsia="黑体" w:cs="黑体"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pacing w:val="-2"/>
          <w:szCs w:val="32"/>
          <w:highlight w:val="none"/>
        </w:rPr>
        <w:t>二、部门整体支出管理及使用情况</w:t>
      </w:r>
    </w:p>
    <w:p w14:paraId="0D8827E5">
      <w:pPr>
        <w:shd w:val="clear" w:color="auto" w:fill="FFFFFF"/>
        <w:spacing w:line="560" w:lineRule="exact"/>
        <w:ind w:firstLine="632" w:firstLineChars="200"/>
        <w:rPr>
          <w:rFonts w:ascii="楷体" w:hAnsi="楷体" w:eastAsia="楷体" w:cs="楷体"/>
          <w:spacing w:val="-2"/>
          <w:szCs w:val="32"/>
          <w:highlight w:val="none"/>
        </w:rPr>
      </w:pPr>
      <w:r>
        <w:rPr>
          <w:rFonts w:hint="eastAsia" w:ascii="楷体" w:hAnsi="楷体" w:eastAsia="楷体" w:cs="楷体"/>
          <w:spacing w:val="-2"/>
          <w:szCs w:val="32"/>
          <w:highlight w:val="none"/>
        </w:rPr>
        <w:t>（一）基本支出</w:t>
      </w:r>
    </w:p>
    <w:p w14:paraId="4AC536BC">
      <w:pPr>
        <w:spacing w:line="560" w:lineRule="exact"/>
        <w:ind w:firstLine="640" w:firstLineChars="20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基本支出主要用于发放人员工资、办公行政、公务接待、公务用车运行维护、生活补助、电费等日常支出。</w:t>
      </w:r>
      <w:r>
        <w:rPr>
          <w:rFonts w:hint="eastAsia" w:ascii="仿宋_GB2312" w:hAnsi="仿宋_GB2312" w:cs="仿宋_GB2312"/>
          <w:spacing w:val="-2"/>
          <w:szCs w:val="32"/>
          <w:highlight w:val="none"/>
        </w:rPr>
        <w:t>2025年共支出4459.5万元。其中：工资福利支出749.85万元；商品和服务</w:t>
      </w:r>
      <w:r>
        <w:rPr>
          <w:rFonts w:hint="eastAsia" w:ascii="仿宋_GB2312" w:hAnsi="仿宋_GB2312" w:cs="仿宋_GB2312"/>
          <w:spacing w:val="-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cs="仿宋_GB2312"/>
          <w:spacing w:val="-2"/>
          <w:szCs w:val="32"/>
          <w:highlight w:val="none"/>
        </w:rPr>
        <w:t>126.28万元，对个人和家庭补助支出7.35万元。</w:t>
      </w:r>
    </w:p>
    <w:p w14:paraId="39A4152B">
      <w:pPr>
        <w:pStyle w:val="4"/>
        <w:spacing w:line="560" w:lineRule="exact"/>
        <w:ind w:firstLine="632" w:firstLineChars="200"/>
        <w:rPr>
          <w:rFonts w:ascii="仿宋_GB2312" w:hAnsi="仿宋_GB2312" w:cs="仿宋_GB2312"/>
          <w:spacing w:val="-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 w:val="32"/>
          <w:szCs w:val="32"/>
          <w:highlight w:val="none"/>
        </w:rPr>
        <w:t>2025年</w:t>
      </w:r>
      <w:r>
        <w:rPr>
          <w:rFonts w:hint="eastAsia" w:ascii="仿宋_GB2312" w:hAnsi="仿宋_GB2312" w:cs="仿宋_GB2312"/>
          <w:spacing w:val="-2"/>
          <w:sz w:val="32"/>
          <w:szCs w:val="32"/>
          <w:highlight w:val="none"/>
          <w:lang w:eastAsia="zh-CN"/>
        </w:rPr>
        <w:t>“三公”经费</w:t>
      </w:r>
      <w:r>
        <w:rPr>
          <w:rFonts w:hint="eastAsia" w:ascii="仿宋_GB2312" w:hAnsi="仿宋_GB2312" w:cs="仿宋_GB2312"/>
          <w:spacing w:val="-2"/>
          <w:sz w:val="32"/>
          <w:szCs w:val="32"/>
          <w:highlight w:val="none"/>
        </w:rPr>
        <w:t>总额为0万元。</w:t>
      </w:r>
      <w:r>
        <w:rPr>
          <w:rFonts w:hint="eastAsia" w:ascii="仿宋_GB2312" w:hAnsi="仿宋_GB2312" w:cs="仿宋_GB2312"/>
          <w:sz w:val="32"/>
          <w:szCs w:val="32"/>
          <w:highlight w:val="none"/>
        </w:rPr>
        <w:t>因我镇严格执行“厉行节约、反对浪费”的规定，严格控制“三公”经费支出，加强公务用车管理，所以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“三公”经费</w:t>
      </w:r>
      <w:r>
        <w:rPr>
          <w:rFonts w:hint="eastAsia" w:ascii="仿宋_GB2312" w:hAnsi="仿宋_GB2312" w:cs="仿宋_GB2312"/>
          <w:spacing w:val="-2"/>
          <w:sz w:val="32"/>
          <w:szCs w:val="32"/>
          <w:highlight w:val="none"/>
        </w:rPr>
        <w:t>使用情况符合县建议支出数，未超过标准。</w:t>
      </w:r>
    </w:p>
    <w:p w14:paraId="4E95A191">
      <w:pPr>
        <w:pStyle w:val="4"/>
        <w:spacing w:line="560" w:lineRule="exact"/>
        <w:ind w:firstLine="632" w:firstLineChars="200"/>
        <w:rPr>
          <w:rFonts w:ascii="仿宋_GB2312" w:hAnsi="仿宋_GB2312" w:cs="仿宋_GB2312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pacing w:val="-2"/>
          <w:sz w:val="32"/>
          <w:szCs w:val="32"/>
          <w:highlight w:val="none"/>
        </w:rPr>
        <w:t>（二）专项支出</w:t>
      </w:r>
    </w:p>
    <w:p w14:paraId="2F4111AE"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1.专项资金安排落实、总投入等情况分析。专项资金总投入共627.56万元。我镇制定了机关财务管理制度，明确了专项支出审批程序，对专项资金加强了监管，坚持专款专用。</w:t>
      </w:r>
    </w:p>
    <w:p w14:paraId="21DFA92A"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2.专项资金实际使用情况分析。我镇专项支出均用在村居运转经费、综治维稳、社会服务管理服务、党建、安全生产等专项支出</w:t>
      </w:r>
      <w:r>
        <w:rPr>
          <w:rFonts w:hint="eastAsia" w:ascii="仿宋_GB2312" w:hAnsi="仿宋_GB2312" w:cs="仿宋_GB2312"/>
          <w:spacing w:val="-2"/>
          <w:szCs w:val="32"/>
          <w:highlight w:val="none"/>
          <w:lang w:eastAsia="zh-CN"/>
        </w:rPr>
        <w:t>上</w:t>
      </w:r>
      <w:r>
        <w:rPr>
          <w:rFonts w:hint="eastAsia" w:ascii="仿宋_GB2312" w:hAnsi="仿宋_GB2312" w:cs="仿宋_GB2312"/>
          <w:spacing w:val="-2"/>
          <w:szCs w:val="32"/>
          <w:highlight w:val="none"/>
        </w:rPr>
        <w:t>。</w:t>
      </w:r>
    </w:p>
    <w:p w14:paraId="5482BC61"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cs="仿宋_GB2312"/>
          <w:color w:val="000000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3.专项资金管理情况分析。</w:t>
      </w:r>
      <w:r>
        <w:rPr>
          <w:rFonts w:hint="eastAsia" w:ascii="仿宋_GB2312" w:hAnsi="仿宋_GB2312" w:cs="仿宋_GB2312"/>
          <w:color w:val="000000"/>
          <w:szCs w:val="32"/>
          <w:highlight w:val="none"/>
        </w:rPr>
        <w:t>为切实规范专项资金管理，保障资金安全、高效运行，发挥资金使用效益，特制定以下管理制度：第一是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</w:rPr>
        <w:t xml:space="preserve">专项资金实行“专人管理、专户储存、专账核算、专项使用”。第二是资金的拨付本着专款专用的原则，严格执行项目资金批准的使用计划和项目批复内容，不准擅自调项、扩项、缩项，更不准拆借、挪用、挤占和随意扣压；资金拨付动向，按不同专项资金的要求执行，不准任意改变；特殊情况，必须请示。第三是严格专项资金初审、审核、审核制度，不准缺项和越程序办理手续，各类专项资金审批程序，以该专项资金审批表所列内容和文件要求为准。第四是专项资金报账拨付要附真实、有效、合法的凭证。  </w:t>
      </w:r>
    </w:p>
    <w:p w14:paraId="2730CA1F">
      <w:pPr>
        <w:widowControl/>
        <w:shd w:val="clear" w:color="auto" w:fill="FFFFFF"/>
        <w:ind w:firstLine="632" w:firstLineChars="200"/>
        <w:rPr>
          <w:rFonts w:ascii="黑体" w:hAnsi="黑体" w:eastAsia="黑体" w:cs="黑体"/>
          <w:bCs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Cs/>
          <w:spacing w:val="-2"/>
          <w:szCs w:val="32"/>
          <w:highlight w:val="none"/>
        </w:rPr>
        <w:t>三、部门专项组织实施情况</w:t>
      </w:r>
    </w:p>
    <w:p w14:paraId="22151F56">
      <w:pPr>
        <w:widowControl/>
        <w:shd w:val="clear" w:color="auto" w:fill="FFFFFF"/>
        <w:ind w:firstLine="640"/>
        <w:rPr>
          <w:rFonts w:ascii="仿宋_GB2312" w:hAnsi="仿宋_GB2312" w:cs="仿宋_GB2312"/>
          <w:spacing w:val="-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（一）专</w:t>
      </w:r>
      <w:r>
        <w:rPr>
          <w:rFonts w:hint="eastAsia" w:ascii="仿宋_GB2312" w:hAnsi="仿宋_GB2312" w:cs="仿宋_GB2312"/>
          <w:szCs w:val="32"/>
          <w:highlight w:val="none"/>
        </w:rPr>
        <w:t>项组织情况分析，我镇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扶贫支出</w:t>
      </w:r>
      <w:r>
        <w:rPr>
          <w:rFonts w:hint="eastAsia" w:ascii="仿宋_GB2312" w:hAnsi="仿宋_GB2312" w:cs="仿宋_GB2312"/>
          <w:szCs w:val="32"/>
          <w:highlight w:val="none"/>
        </w:rPr>
        <w:t>，均用在基础设施、养殖产业发展等方面。对村级扶贫项目资金都通过了扶贫资金申请、镇村两级公开公示、竣工验收等程序。</w:t>
      </w:r>
    </w:p>
    <w:p w14:paraId="0B435F35">
      <w:pPr>
        <w:widowControl/>
        <w:shd w:val="clear" w:color="auto" w:fill="FFFFFF"/>
        <w:ind w:firstLine="64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pacing w:val="-2"/>
          <w:szCs w:val="32"/>
          <w:highlight w:val="none"/>
        </w:rPr>
        <w:t>（二）</w:t>
      </w:r>
      <w:r>
        <w:rPr>
          <w:rFonts w:hint="eastAsia" w:ascii="仿宋_GB2312" w:hAnsi="仿宋_GB2312" w:cs="仿宋_GB2312"/>
          <w:szCs w:val="32"/>
          <w:highlight w:val="none"/>
        </w:rPr>
        <w:t>专项管理情况：为切实规范专项资金管理，保障资金安全、高效运行，发挥资金使用效益，特制定以下管理制度：</w:t>
      </w:r>
    </w:p>
    <w:p w14:paraId="62BF9390">
      <w:pPr>
        <w:widowControl/>
        <w:shd w:val="clear" w:color="auto" w:fill="FFFFFF"/>
        <w:ind w:firstLine="64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1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专项资金实行“专人管理、专户储存、专账核算、专项使用”。</w:t>
      </w:r>
    </w:p>
    <w:p w14:paraId="5EBFF0B0">
      <w:pPr>
        <w:widowControl/>
        <w:shd w:val="clear" w:color="auto" w:fill="FFFFFF"/>
        <w:ind w:firstLine="64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2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资金的拨付本着专款专用的原则，严格执行项目资金批准的使用计划和项目批复内容，不准擅自调项、扩项、缩项，更不准拆借、挪用、挤占和随意扣压；资金拨付动向，按不同专项资金的要求执行，不准任意改变；特殊情况，必须请示。</w:t>
      </w:r>
    </w:p>
    <w:p w14:paraId="2E66293F">
      <w:pPr>
        <w:widowControl/>
        <w:shd w:val="clear" w:color="auto" w:fill="FFFFFF"/>
        <w:ind w:firstLine="64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3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严格专项资金初审、审核、审核制度，不准缺项和越程序办理手续，各类专项资金审批程序，以该专项资金审批表所列内容和文件要求为准。</w:t>
      </w:r>
    </w:p>
    <w:p w14:paraId="260E8BE4">
      <w:pPr>
        <w:widowControl/>
        <w:shd w:val="clear" w:color="auto" w:fill="FFFFFF"/>
        <w:ind w:firstLine="640"/>
        <w:rPr>
          <w:rFonts w:ascii="仿宋_GB2312" w:hAnsi="仿宋_GB2312" w:cs="仿宋_GB2312"/>
          <w:color w:val="000000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4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szCs w:val="32"/>
          <w:highlight w:val="none"/>
        </w:rPr>
        <w:t>专项资金报账拨付要附真实、有效、合法的凭证。</w:t>
      </w:r>
    </w:p>
    <w:p w14:paraId="3F9017FD">
      <w:pPr>
        <w:shd w:val="clear" w:color="auto" w:fill="FFFFFF"/>
        <w:spacing w:line="560" w:lineRule="exact"/>
        <w:ind w:firstLine="632" w:firstLineChars="200"/>
        <w:rPr>
          <w:rFonts w:ascii="黑体" w:hAnsi="黑体" w:eastAsia="黑体" w:cs="黑体"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spacing w:val="-2"/>
          <w:szCs w:val="32"/>
          <w:highlight w:val="none"/>
        </w:rPr>
        <w:t>四、资产管理情况</w:t>
      </w:r>
    </w:p>
    <w:p w14:paraId="73D55EB2">
      <w:pPr>
        <w:pStyle w:val="6"/>
        <w:spacing w:afterAutospacing="0" w:line="560" w:lineRule="exact"/>
        <w:ind w:firstLine="640" w:firstLineChars="200"/>
        <w:jc w:val="both"/>
        <w:rPr>
          <w:rFonts w:ascii="仿宋_GB2312" w:hAnsi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2"/>
          <w:sz w:val="32"/>
          <w:szCs w:val="32"/>
          <w:highlight w:val="none"/>
        </w:rPr>
        <w:t>为规范固定资产管理，实现固定资产的优化配置，我镇制定了固定资产管理制度，固定资产指定专人管理，及时登记，科学使用，每年年末对固定资产进行清查盘点，</w:t>
      </w:r>
      <w:r>
        <w:rPr>
          <w:rFonts w:hint="eastAsia" w:ascii="仿宋_GB2312" w:hAnsi="仿宋_GB2312" w:cs="仿宋_GB2312"/>
          <w:kern w:val="2"/>
          <w:sz w:val="32"/>
          <w:szCs w:val="32"/>
          <w:highlight w:val="none"/>
          <w:lang w:eastAsia="zh-CN"/>
        </w:rPr>
        <w:t>固定资产</w:t>
      </w:r>
      <w:r>
        <w:rPr>
          <w:rFonts w:hint="eastAsia" w:ascii="仿宋_GB2312" w:hAnsi="仿宋_GB2312" w:cs="仿宋_GB2312"/>
          <w:kern w:val="2"/>
          <w:sz w:val="32"/>
          <w:szCs w:val="32"/>
          <w:highlight w:val="none"/>
        </w:rPr>
        <w:t>的调出、处置、报废、报损严格执行国家有关规定的审批程序办理。</w:t>
      </w:r>
    </w:p>
    <w:p w14:paraId="4C281DF1">
      <w:pPr>
        <w:widowControl/>
        <w:shd w:val="clear" w:color="auto" w:fill="FFFFFF"/>
        <w:ind w:firstLine="640"/>
        <w:rPr>
          <w:rFonts w:ascii="黑体" w:hAnsi="黑体" w:eastAsia="黑体" w:cs="黑体"/>
          <w:bCs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Cs/>
          <w:spacing w:val="-2"/>
          <w:szCs w:val="32"/>
          <w:highlight w:val="none"/>
        </w:rPr>
        <w:t>五、部门整体支出绩效情况</w:t>
      </w:r>
    </w:p>
    <w:p w14:paraId="1C486882">
      <w:pPr>
        <w:ind w:firstLine="643" w:firstLineChars="20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szCs w:val="32"/>
          <w:highlight w:val="none"/>
          <w:lang w:eastAsia="zh-CN"/>
        </w:rPr>
        <w:t>以继续</w:t>
      </w:r>
      <w:r>
        <w:rPr>
          <w:rFonts w:hint="eastAsia" w:ascii="仿宋_GB2312" w:hAnsi="仿宋_GB2312" w:cs="仿宋_GB2312"/>
          <w:b/>
          <w:bCs/>
          <w:szCs w:val="32"/>
          <w:highlight w:val="none"/>
        </w:rPr>
        <w:t>发展传统优势产业</w:t>
      </w:r>
      <w:r>
        <w:rPr>
          <w:rFonts w:hint="eastAsia" w:ascii="仿宋_GB2312" w:hAnsi="仿宋_GB2312" w:cs="仿宋_GB2312"/>
          <w:b/>
          <w:bCs/>
          <w:szCs w:val="32"/>
          <w:highlight w:val="none"/>
          <w:lang w:eastAsia="zh-CN"/>
        </w:rPr>
        <w:t>为重点，</w:t>
      </w:r>
      <w:r>
        <w:rPr>
          <w:rFonts w:hint="eastAsia" w:ascii="仿宋_GB2312" w:hAnsi="仿宋_GB2312" w:cs="仿宋_GB2312"/>
          <w:szCs w:val="32"/>
          <w:highlight w:val="none"/>
        </w:rPr>
        <w:t>积极培育蔬菜、茶叶、林下土鸡、黑猪养殖、苗木、小水果等农副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产业</w:t>
      </w:r>
      <w:r>
        <w:rPr>
          <w:rFonts w:hint="eastAsia" w:ascii="仿宋_GB2312" w:hAnsi="仿宋_GB2312" w:cs="仿宋_GB2312"/>
          <w:szCs w:val="32"/>
          <w:highlight w:val="none"/>
        </w:rPr>
        <w:t>，积极引进优良品种，着力扶持农业专业合作社和示范大户及黄花菜的开发，推进农业产业发展。</w:t>
      </w:r>
    </w:p>
    <w:p w14:paraId="3798F74D">
      <w:pPr>
        <w:ind w:firstLine="643" w:firstLineChars="20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szCs w:val="32"/>
          <w:highlight w:val="none"/>
        </w:rPr>
        <w:t>大力发展新型特色产业。</w:t>
      </w:r>
      <w:r>
        <w:rPr>
          <w:rFonts w:hint="eastAsia" w:ascii="仿宋_GB2312" w:hAnsi="仿宋_GB2312" w:cs="仿宋_GB2312"/>
          <w:szCs w:val="32"/>
          <w:highlight w:val="none"/>
        </w:rPr>
        <w:t>不断壮大蜂蜜、龙虾养殖等适合本地的新型特色产业，新增特色养殖业两家。同时大力发展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庭院经济</w:t>
      </w:r>
      <w:r>
        <w:rPr>
          <w:rFonts w:hint="eastAsia" w:ascii="仿宋_GB2312" w:hAnsi="仿宋_GB2312" w:cs="仿宋_GB2312"/>
          <w:szCs w:val="32"/>
          <w:highlight w:val="none"/>
        </w:rPr>
        <w:t>、家庭农场，将特色产业打造成旅游产品，提高品质和经济价值。做好推进农村承包土地经营权确权登记颁证前期工作，为做活田地文章打下了基础。</w:t>
      </w:r>
    </w:p>
    <w:p w14:paraId="08E96A63">
      <w:pPr>
        <w:ind w:firstLine="643" w:firstLineChars="20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szCs w:val="32"/>
          <w:highlight w:val="none"/>
        </w:rPr>
        <w:t>注重工作成效。</w:t>
      </w:r>
      <w:r>
        <w:rPr>
          <w:rFonts w:hint="eastAsia" w:ascii="仿宋_GB2312" w:hAnsi="仿宋_GB2312" w:cs="仿宋_GB2312"/>
          <w:szCs w:val="32"/>
          <w:highlight w:val="none"/>
        </w:rPr>
        <w:t>有效推进巩固脱贫攻坚成果工作；有效维护柳林汊村等集中安置点的日常管理使用，提升群众满意度。</w:t>
      </w:r>
    </w:p>
    <w:p w14:paraId="6CE15117">
      <w:pPr>
        <w:ind w:firstLine="643" w:firstLineChars="20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szCs w:val="32"/>
          <w:highlight w:val="none"/>
        </w:rPr>
        <w:t>探索脱贫模式。</w:t>
      </w:r>
      <w:r>
        <w:rPr>
          <w:rFonts w:hint="eastAsia" w:ascii="仿宋_GB2312" w:hAnsi="仿宋_GB2312" w:cs="仿宋_GB2312"/>
          <w:szCs w:val="32"/>
          <w:highlight w:val="none"/>
        </w:rPr>
        <w:t>结合镇情，因地制宜，重点探索旅游扶贫、劳务扶贫、产业扶贫等脱贫模式。实现“抓产业促扶贫，抓扶贫促产业”的有机融合。召开外出务工创业人员座谈会，搭建外出务工人员微信平台。</w:t>
      </w:r>
    </w:p>
    <w:p w14:paraId="6ED4D50C">
      <w:pPr>
        <w:widowControl/>
        <w:shd w:val="clear" w:color="auto" w:fill="FFFFFF"/>
        <w:spacing w:line="560" w:lineRule="exact"/>
        <w:ind w:firstLine="632" w:firstLineChars="200"/>
        <w:rPr>
          <w:rFonts w:ascii="黑体" w:hAnsi="黑体" w:eastAsia="黑体" w:cs="黑体"/>
          <w:bCs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Cs/>
          <w:spacing w:val="-2"/>
          <w:szCs w:val="32"/>
          <w:highlight w:val="none"/>
        </w:rPr>
        <w:t>六、部门整体支出绩效评价结果</w:t>
      </w:r>
    </w:p>
    <w:p w14:paraId="26E74F60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我镇部门整体支出绩效评价指标得分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cs="仿宋_GB2312"/>
          <w:szCs w:val="32"/>
          <w:highlight w:val="none"/>
        </w:rPr>
        <w:t>分，评价为优秀。</w:t>
      </w:r>
    </w:p>
    <w:p w14:paraId="65AAFF9D">
      <w:pPr>
        <w:widowControl/>
        <w:shd w:val="clear" w:color="auto" w:fill="FFFFFF"/>
        <w:ind w:firstLine="632" w:firstLineChars="200"/>
        <w:rPr>
          <w:rFonts w:ascii="黑体" w:hAnsi="黑体" w:eastAsia="黑体" w:cs="黑体"/>
          <w:bCs/>
          <w:spacing w:val="-2"/>
          <w:szCs w:val="32"/>
          <w:highlight w:val="none"/>
        </w:rPr>
      </w:pPr>
      <w:r>
        <w:rPr>
          <w:rFonts w:hint="eastAsia" w:ascii="黑体" w:hAnsi="黑体" w:eastAsia="黑体" w:cs="黑体"/>
          <w:bCs/>
          <w:spacing w:val="-2"/>
          <w:szCs w:val="32"/>
          <w:highlight w:val="none"/>
        </w:rPr>
        <w:t>七、存在的主要问题</w:t>
      </w:r>
    </w:p>
    <w:p w14:paraId="4C74F98E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（一）财政收入有限，收入来源较单一，经济发展力度不够。乡镇一级的财政时常陷入困境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cs="仿宋_GB2312"/>
          <w:szCs w:val="32"/>
          <w:highlight w:val="none"/>
        </w:rPr>
        <w:t>入不敷出。然而经济社会的发展却一刻也离不开资金支持，无论是筑桥铺路还是盖楼建校，无论是公共服务还是公益事业，离开了资金都将是空谈。单纯依靠上级财政拨付，维持机关运转尚且困难，更别谈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产业结构调整</w:t>
      </w:r>
      <w:r>
        <w:rPr>
          <w:rFonts w:hint="eastAsia" w:ascii="仿宋_GB2312" w:hAnsi="仿宋_GB2312" w:cs="仿宋_GB2312"/>
          <w:szCs w:val="32"/>
          <w:highlight w:val="none"/>
        </w:rPr>
        <w:t>。由此也导致了镇政府资金紧张问题。</w:t>
      </w:r>
    </w:p>
    <w:p w14:paraId="1E8A60A2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二）财务预算管理制度不健全。乡镇财政工作的对象十分复杂，而没有准确、科学的财务预算管理作为保障就极易造成资金、物资等资源的浪费，而目前在财务预算的编制上，往往是为了预算而预算，忽视预算与实际工作需要的一致性，致使多次追加预算，预算完成率却不高。</w:t>
      </w:r>
    </w:p>
    <w:p w14:paraId="725BC055">
      <w:pPr>
        <w:ind w:firstLine="640" w:firstLineChars="200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八、改进措施和有关建议</w:t>
      </w:r>
    </w:p>
    <w:p w14:paraId="7E0DEB4F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（一）大力发展镇村经济，拓宽镇级财源。大力调整产业结构，引导农民根据市场组织生产，发展自己的优势产业；大力发展镇级企业，引导部分镇级企业围绕调整和优化农业产业结构，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开拓</w:t>
      </w:r>
      <w:r>
        <w:rPr>
          <w:rFonts w:hint="eastAsia" w:ascii="仿宋_GB2312" w:hAnsi="仿宋_GB2312" w:cs="仿宋_GB2312"/>
          <w:szCs w:val="32"/>
          <w:highlight w:val="none"/>
        </w:rPr>
        <w:t>农产品深加工和销售市场；大力发展个体私营经济，为农村个体私营经济的发展创造宽松的外部环境，使个体私营经济成为镇级经济发展的新力量。</w:t>
      </w:r>
    </w:p>
    <w:p w14:paraId="14BD6DFA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二）细化预算编制工作，认真做好预算的编制。进一步加强单位内部机构各部门的预算管理意识，严格按照预算编制的相关制度和要求进行预算编制；全面编制预算项目，优先保障固定性的、相对刚性的费用支出项目，尽量压缩变动性的、有控制空间的费用项目，进一步提高预算编制的科学性、严谨性和可控性。加强内部预算编制的审核和预算控制指标的下达。推行内部各部门预算“二上二下”方式，提高预算的合理性和准确性。</w:t>
      </w:r>
    </w:p>
    <w:p w14:paraId="1FAE0A54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三）加大制度建设，夯实工作基础。完善内部管理制度，建立岗位责任制，进一步明确相关人员的职责分工，各司其职，便于发挥财政管理工作的监督职能，对镇级资金加强管理，特别是对专项资金的使用要及时跟踪、检查，确保专款专用；梳理、细化以往账目，为镇级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制定</w:t>
      </w:r>
      <w:r>
        <w:rPr>
          <w:rFonts w:hint="eastAsia" w:ascii="仿宋_GB2312" w:hAnsi="仿宋_GB2312" w:cs="仿宋_GB2312"/>
          <w:szCs w:val="32"/>
          <w:highlight w:val="none"/>
        </w:rPr>
        <w:t>切实可行的财务预算计划，确保资金使用的能效。</w:t>
      </w:r>
    </w:p>
    <w:p w14:paraId="0CC00BCA">
      <w:pPr>
        <w:ind w:firstLine="624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（四）严格把控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“三公”经费</w:t>
      </w:r>
      <w:r>
        <w:rPr>
          <w:rFonts w:hint="eastAsia" w:ascii="仿宋_GB2312" w:hAnsi="仿宋_GB2312" w:cs="仿宋_GB2312"/>
          <w:szCs w:val="32"/>
          <w:highlight w:val="none"/>
        </w:rPr>
        <w:t>的使用。严格控制“三公”经费的规模和比例，把关“三公”经费支出的审核、审批，杜绝挪用和挤占其他预算资金行为；进一步细化“三公”经费的管理，合理压缩“三公”经费支出。</w:t>
      </w:r>
    </w:p>
    <w:p w14:paraId="264E4D74">
      <w:pPr>
        <w:widowControl/>
        <w:shd w:val="clear" w:color="auto" w:fill="FFFFFF"/>
        <w:ind w:right="160"/>
        <w:rPr>
          <w:rFonts w:ascii="仿宋_GB2312" w:hAnsi="仿宋_GB2312" w:cs="仿宋_GB2312"/>
          <w:szCs w:val="32"/>
          <w:highlight w:val="none"/>
        </w:rPr>
      </w:pPr>
    </w:p>
    <w:p w14:paraId="1FF52BB6">
      <w:pPr>
        <w:widowControl/>
        <w:shd w:val="clear" w:color="auto" w:fill="FFFFFF"/>
        <w:ind w:right="160"/>
        <w:jc w:val="right"/>
        <w:rPr>
          <w:rFonts w:ascii="仿宋_GB2312" w:hAnsi="仿宋_GB2312" w:cs="仿宋_GB2312"/>
          <w:szCs w:val="32"/>
          <w:highlight w:val="none"/>
        </w:rPr>
      </w:pPr>
    </w:p>
    <w:p w14:paraId="176B52EB">
      <w:pPr>
        <w:widowControl/>
        <w:shd w:val="clear" w:color="auto" w:fill="FFFFFF"/>
        <w:ind w:right="160"/>
        <w:jc w:val="right"/>
        <w:rPr>
          <w:rFonts w:ascii="仿宋_GB2312" w:hAnsi="仿宋_GB2312" w:cs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>沅陵县五强溪镇人民政府</w:t>
      </w:r>
    </w:p>
    <w:p w14:paraId="10860068">
      <w:pPr>
        <w:widowControl/>
        <w:shd w:val="clear" w:color="auto" w:fill="FFFFFF"/>
        <w:wordWrap w:val="0"/>
        <w:ind w:right="160"/>
        <w:jc w:val="right"/>
        <w:rPr>
          <w:rFonts w:ascii="Calibri" w:hAnsi="Calibri" w:cs="Calibri"/>
          <w:color w:val="000000"/>
          <w:sz w:val="24"/>
          <w:highlight w:val="none"/>
        </w:rPr>
      </w:pPr>
      <w:r>
        <w:rPr>
          <w:rFonts w:hint="eastAsia" w:ascii="仿宋_GB2312" w:hAnsi="仿宋_GB2312" w:cs="仿宋_GB2312"/>
          <w:szCs w:val="32"/>
          <w:highlight w:val="none"/>
        </w:rPr>
        <w:t xml:space="preserve">2026年6月25日   </w:t>
      </w:r>
    </w:p>
    <w:p w14:paraId="689AD98F">
      <w:pPr>
        <w:pStyle w:val="6"/>
        <w:widowControl/>
        <w:shd w:val="clear" w:color="auto" w:fill="FFFFFF"/>
        <w:spacing w:beforeAutospacing="0" w:afterAutospacing="0" w:line="480" w:lineRule="atLeast"/>
        <w:jc w:val="both"/>
        <w:rPr>
          <w:rFonts w:ascii="Calibri" w:hAnsi="Calibri" w:cs="Calibri"/>
          <w:color w:val="000000"/>
          <w:highlight w:val="none"/>
        </w:rPr>
      </w:pPr>
    </w:p>
    <w:p w14:paraId="6DDD45E9">
      <w:pPr>
        <w:pStyle w:val="6"/>
        <w:widowControl/>
        <w:shd w:val="clear" w:color="auto" w:fill="FFFFFF"/>
        <w:spacing w:beforeAutospacing="0" w:afterAutospacing="0" w:line="480" w:lineRule="atLeast"/>
        <w:jc w:val="both"/>
        <w:rPr>
          <w:rFonts w:ascii="Calibri" w:hAnsi="Calibri" w:cs="Calibri"/>
          <w:color w:val="000000"/>
          <w:highlight w:val="none"/>
        </w:rPr>
      </w:pPr>
    </w:p>
    <w:p w14:paraId="102E828E">
      <w:pPr>
        <w:pStyle w:val="6"/>
        <w:widowControl/>
        <w:shd w:val="clear" w:color="auto" w:fill="FFFFFF"/>
        <w:spacing w:beforeAutospacing="0" w:afterAutospacing="0" w:line="480" w:lineRule="atLeast"/>
        <w:jc w:val="both"/>
        <w:rPr>
          <w:rFonts w:ascii="Calibri" w:hAnsi="Calibri" w:cs="Calibri"/>
          <w:color w:val="000000"/>
          <w:highlight w:val="none"/>
        </w:rPr>
      </w:pPr>
    </w:p>
    <w:p w14:paraId="31BD53F8">
      <w:pPr>
        <w:pStyle w:val="6"/>
        <w:widowControl/>
        <w:shd w:val="clear" w:color="auto" w:fill="FFFFFF"/>
        <w:spacing w:beforeAutospacing="0" w:afterAutospacing="0" w:line="480" w:lineRule="atLeast"/>
        <w:jc w:val="both"/>
        <w:rPr>
          <w:rFonts w:ascii="Calibri" w:hAnsi="Calibri" w:cs="Calibri"/>
          <w:color w:val="000000"/>
          <w:highlight w:val="none"/>
        </w:rPr>
      </w:pPr>
    </w:p>
    <w:p w14:paraId="5E371CA1">
      <w:pPr>
        <w:pStyle w:val="6"/>
        <w:widowControl/>
        <w:shd w:val="clear" w:color="auto" w:fill="FFFFFF"/>
        <w:spacing w:beforeAutospacing="0" w:afterAutospacing="0" w:line="480" w:lineRule="exact"/>
        <w:jc w:val="both"/>
        <w:rPr>
          <w:rFonts w:ascii="方正小标宋_GBK" w:hAnsi="方正小标宋_GBK" w:eastAsia="方正小标宋_GBK" w:cs="方正小标宋_GBK"/>
          <w:color w:val="000000"/>
          <w:sz w:val="32"/>
          <w:szCs w:val="32"/>
          <w:highlight w:val="none"/>
          <w:shd w:val="clear" w:color="auto" w:fill="FFFFFF"/>
        </w:rPr>
      </w:pPr>
    </w:p>
    <w:p w14:paraId="54889A47">
      <w:pPr>
        <w:spacing w:line="600" w:lineRule="exac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附件1</w:t>
      </w:r>
    </w:p>
    <w:p w14:paraId="72F4C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highlight w:val="none"/>
          <w:lang w:val="en-US" w:eastAsia="zh-CN"/>
        </w:rPr>
        <w:t>基础数据表</w:t>
      </w:r>
    </w:p>
    <w:tbl>
      <w:tblPr>
        <w:tblStyle w:val="8"/>
        <w:tblW w:w="5402" w:type="pct"/>
        <w:tblInd w:w="-5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5"/>
        <w:gridCol w:w="852"/>
        <w:gridCol w:w="981"/>
        <w:gridCol w:w="1206"/>
        <w:gridCol w:w="1207"/>
        <w:gridCol w:w="1378"/>
        <w:gridCol w:w="1379"/>
      </w:tblGrid>
      <w:tr w14:paraId="3FD2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财政供养人员情况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编制数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2025年实际在职人数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</w:t>
            </w:r>
          </w:p>
        </w:tc>
      </w:tr>
      <w:tr w14:paraId="73DA1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7F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75.45%</w:t>
            </w:r>
          </w:p>
        </w:tc>
      </w:tr>
      <w:tr w14:paraId="22510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经费控制情况(万元)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2024年决算数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2025年预算数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2025年决算数</w:t>
            </w:r>
          </w:p>
        </w:tc>
      </w:tr>
      <w:tr w14:paraId="02723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07A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1、公务用车购置和维护经费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FE6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其中：公车购置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FDB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公车运行维护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02E9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2、出国经费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8556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3、公务接待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1C8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627.56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627.56</w:t>
            </w:r>
          </w:p>
        </w:tc>
      </w:tr>
      <w:tr w14:paraId="216BC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1、业务工作经费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0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C2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2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252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2、运行维护经费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0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6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2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36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3、本级专项资金（一个专项一行）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627.56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627.56</w:t>
            </w:r>
          </w:p>
        </w:tc>
      </w:tr>
      <w:tr w14:paraId="66EAE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2025社区运转经费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</w:tr>
      <w:tr w14:paraId="0EE1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2025乡镇村居生态环保运行维护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291.78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291.78</w:t>
            </w:r>
          </w:p>
        </w:tc>
      </w:tr>
      <w:tr w14:paraId="43B4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2025村级运转经费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233.78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233.78</w:t>
            </w:r>
          </w:p>
        </w:tc>
      </w:tr>
      <w:tr w14:paraId="27AB8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公用经费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121.72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126.28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126.28</w:t>
            </w:r>
          </w:p>
        </w:tc>
      </w:tr>
      <w:tr w14:paraId="75A51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其中：办公经费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17.65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D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 w14:paraId="09B4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水费、电费、差旅费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21.29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20.53</w:t>
            </w:r>
          </w:p>
        </w:tc>
      </w:tr>
      <w:tr w14:paraId="716DF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会议费、培训费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14.72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19.8</w:t>
            </w:r>
          </w:p>
        </w:tc>
      </w:tr>
      <w:tr w14:paraId="32C43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政府采购金额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194.54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191.25</w:t>
            </w:r>
          </w:p>
        </w:tc>
      </w:tr>
      <w:tr w14:paraId="0D24E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部门基本支出预算调整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1053.35</w:t>
            </w:r>
          </w:p>
        </w:tc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1180.92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1124.6</w:t>
            </w:r>
          </w:p>
        </w:tc>
      </w:tr>
      <w:tr w14:paraId="2636C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楼堂馆所控制情况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（2025年完工项目）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批复规模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（㎡）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实际规模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（㎡）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规模控制率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D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预算投资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A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实际投资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投资概算控制率</w:t>
            </w:r>
          </w:p>
        </w:tc>
      </w:tr>
      <w:tr w14:paraId="0F8A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61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92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D3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9E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75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8D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40E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厉行节约保障措施</w:t>
            </w:r>
          </w:p>
        </w:tc>
        <w:tc>
          <w:tcPr>
            <w:tcW w:w="371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严格控制三公经费等各项支出，厉行节俭。</w:t>
            </w:r>
          </w:p>
        </w:tc>
      </w:tr>
    </w:tbl>
    <w:p w14:paraId="1E6C9756">
      <w:pPr>
        <w:spacing w:line="600" w:lineRule="exact"/>
        <w:rPr>
          <w:rFonts w:hint="default"/>
          <w:highlight w:val="none"/>
          <w:lang w:val="en-US" w:eastAsia="zh-CN"/>
        </w:rPr>
        <w:sectPr>
          <w:footerReference r:id="rId3" w:type="default"/>
          <w:pgSz w:w="11906" w:h="16838"/>
          <w:pgMar w:top="2098" w:right="1800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11C3E612">
      <w:pPr>
        <w:spacing w:line="600" w:lineRule="exac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附件2</w:t>
      </w:r>
    </w:p>
    <w:p w14:paraId="7E9DF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highlight w:val="none"/>
          <w:lang w:val="en-US" w:eastAsia="zh-CN"/>
        </w:rPr>
        <w:t>部门整体支出绩效自评表</w:t>
      </w:r>
    </w:p>
    <w:tbl>
      <w:tblPr>
        <w:tblStyle w:val="8"/>
        <w:tblW w:w="5481" w:type="pct"/>
        <w:tblInd w:w="-3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810"/>
        <w:gridCol w:w="812"/>
        <w:gridCol w:w="1481"/>
        <w:gridCol w:w="917"/>
        <w:gridCol w:w="925"/>
        <w:gridCol w:w="810"/>
        <w:gridCol w:w="810"/>
        <w:gridCol w:w="1863"/>
      </w:tblGrid>
      <w:tr w14:paraId="43B2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预算单位名称</w:t>
            </w:r>
          </w:p>
        </w:tc>
        <w:tc>
          <w:tcPr>
            <w:tcW w:w="44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沅陵县五强溪镇人民政府</w:t>
            </w:r>
          </w:p>
        </w:tc>
      </w:tr>
      <w:tr w14:paraId="7176D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年度预算申请（万元）</w:t>
            </w:r>
          </w:p>
        </w:tc>
        <w:tc>
          <w:tcPr>
            <w:tcW w:w="8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41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6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7563D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20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2194.81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5087.06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5087.06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BE6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3D7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C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按收入性质分：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D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按支出性质分：</w:t>
            </w:r>
          </w:p>
        </w:tc>
      </w:tr>
      <w:tr w14:paraId="437E0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96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F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其中：      一般公共预算：4439.47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2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其中：基本支出：4459.5</w:t>
            </w:r>
          </w:p>
        </w:tc>
      </w:tr>
      <w:tr w14:paraId="4B84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77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B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政府性基金拨款：505.7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6245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项目支出：627.56</w:t>
            </w:r>
          </w:p>
        </w:tc>
      </w:tr>
      <w:tr w14:paraId="4A00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4C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4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纳入专户管理的非税收入拨款：0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84E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DBE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BA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1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其他资金：141.89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631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2B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　</w:t>
            </w:r>
          </w:p>
        </w:tc>
      </w:tr>
      <w:tr w14:paraId="6CEA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41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贯彻执行上级的各项方针政策，稳定和完善农村基本经营管理，全面实施政府各项决策部署，加强农业基础建设，改善农业生产条件。确保各项工作目标任务圆满完成。加强综合治理，维护社会稳定，妥善处理突发性事件，调节处理各种矛盾和纠纷。财务方面严格按照“三公”经费预算管理规定。</w:t>
            </w:r>
          </w:p>
        </w:tc>
        <w:tc>
          <w:tcPr>
            <w:tcW w:w="23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贯彻执行上级的各项方针政策，稳定和完善农村基本经营管理，全面实施政府各项决策部署，加强农业基础建设，改善农业生产条件。确保各项工作目标任务圆满完成。加强综合治理，维护社会稳定，妥善处理突发性事件，调节处理各种矛盾和纠纷。财务方面严格按照“三公”经费预算管理规定。</w:t>
            </w:r>
          </w:p>
        </w:tc>
      </w:tr>
      <w:tr w14:paraId="554D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400CA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42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成本指标（30分)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CF73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预算支出成本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≤2194.81万元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2194.81万元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8BA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42B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E7C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10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4D03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社会成本节约率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≥60%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70%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A14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267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29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82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C46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生态环境成本节约率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≥60%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70%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A03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DE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3A8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产出指标（30分)</w:t>
            </w: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项目完成数量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≥3个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3个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D3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0D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3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EB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C4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90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20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9C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EB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DE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8F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46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93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6D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验收合格率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8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E8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52A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BB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58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BC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0A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1F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EC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C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A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E6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9E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C3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CE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44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C10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DA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70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ED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10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DA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CE6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45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83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B8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C3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9C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效益指标（30分）</w:t>
            </w: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带动税收增长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≥10万元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20万元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EE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8AC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52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DA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82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83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AB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2F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EB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2F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14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723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D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ED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受益人群覆盖率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≥80%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C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AD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10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75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1D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24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46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DA5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CE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66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087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06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CF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污染物减排量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≤10吨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6吨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49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50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08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B4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F5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79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F8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91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9B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9B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D2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7F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A4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04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促进乡村振兴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D3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4DC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DD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0C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67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E6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0A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F35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F3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FB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E6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6A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F8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满意度指标（10分）</w:t>
            </w: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7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4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4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E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E7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05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D2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16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71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C8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F8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1A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1B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3D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19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C1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8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A2D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F56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098B711">
      <w:pPr>
        <w:spacing w:line="600" w:lineRule="exact"/>
        <w:jc w:val="both"/>
        <w:rPr>
          <w:rFonts w:hint="default"/>
          <w:sz w:val="20"/>
          <w:szCs w:val="20"/>
          <w:highlight w:val="none"/>
          <w:lang w:val="en-US" w:eastAsia="zh-CN"/>
        </w:rPr>
      </w:pPr>
      <w:r>
        <w:rPr>
          <w:rFonts w:hint="default"/>
          <w:sz w:val="20"/>
          <w:szCs w:val="20"/>
          <w:highlight w:val="none"/>
          <w:lang w:val="en-US" w:eastAsia="zh-CN"/>
        </w:rPr>
        <w:t xml:space="preserve">填表人：李永安  </w:t>
      </w:r>
      <w:r>
        <w:rPr>
          <w:rFonts w:hint="eastAsia"/>
          <w:sz w:val="20"/>
          <w:szCs w:val="20"/>
          <w:highlight w:val="none"/>
          <w:lang w:val="en-US" w:eastAsia="zh-CN"/>
        </w:rPr>
        <w:t xml:space="preserve">          </w:t>
      </w:r>
      <w:r>
        <w:rPr>
          <w:rFonts w:hint="default"/>
          <w:sz w:val="20"/>
          <w:szCs w:val="20"/>
          <w:highlight w:val="none"/>
          <w:lang w:val="en-US" w:eastAsia="zh-CN"/>
        </w:rPr>
        <w:t xml:space="preserve">  填报日期： 2026/6/25    </w:t>
      </w:r>
      <w:r>
        <w:rPr>
          <w:rFonts w:hint="eastAsia"/>
          <w:sz w:val="20"/>
          <w:szCs w:val="20"/>
          <w:highlight w:val="none"/>
          <w:lang w:val="en-US" w:eastAsia="zh-CN"/>
        </w:rPr>
        <w:t xml:space="preserve">           </w:t>
      </w:r>
      <w:r>
        <w:rPr>
          <w:rFonts w:hint="default"/>
          <w:sz w:val="20"/>
          <w:szCs w:val="20"/>
          <w:highlight w:val="none"/>
          <w:lang w:val="en-US" w:eastAsia="zh-CN"/>
        </w:rPr>
        <w:t xml:space="preserve">  联系电话：13874277991 </w:t>
      </w:r>
    </w:p>
    <w:sectPr>
      <w:pgSz w:w="11906" w:h="16838"/>
      <w:pgMar w:top="2098" w:right="1800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D26DD">
    <w:pPr>
      <w:pStyle w:val="4"/>
    </w:pPr>
    <w:r>
      <w:rPr>
        <w:sz w:val="18"/>
      </w:rPr>
      <w:pict>
        <v:shape id="_x0000_s1027" o:spid="_x0000_s102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5B36F8C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DE13CD"/>
    <w:multiLevelType w:val="singleLevel"/>
    <w:tmpl w:val="E6DE13CD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800" w:firstLine="0"/>
      </w:pPr>
    </w:lvl>
  </w:abstractNum>
  <w:abstractNum w:abstractNumId="1">
    <w:nsid w:val="F975E9A1"/>
    <w:multiLevelType w:val="singleLevel"/>
    <w:tmpl w:val="F975E9A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DAzNDNmZGY5ODE4YTVlYjYxZjc0MjRkNGFmZDRkY2UifQ=="/>
    <w:docVar w:name="KSO_WPS_MARK_KEY" w:val="9920a277-c0c3-43b4-93d3-1636fe398e0b"/>
  </w:docVars>
  <w:rsids>
    <w:rsidRoot w:val="753C4E9B"/>
    <w:rsid w:val="001F3E22"/>
    <w:rsid w:val="008D4BF0"/>
    <w:rsid w:val="038E6D4E"/>
    <w:rsid w:val="05E95AA6"/>
    <w:rsid w:val="0C180A78"/>
    <w:rsid w:val="0CAF7D6D"/>
    <w:rsid w:val="0D276746"/>
    <w:rsid w:val="0D464D9C"/>
    <w:rsid w:val="0DD52794"/>
    <w:rsid w:val="0E956870"/>
    <w:rsid w:val="0F340C24"/>
    <w:rsid w:val="10C666A5"/>
    <w:rsid w:val="1223366A"/>
    <w:rsid w:val="143877FD"/>
    <w:rsid w:val="17C820DA"/>
    <w:rsid w:val="19E805B2"/>
    <w:rsid w:val="1FC24F0D"/>
    <w:rsid w:val="21E142F9"/>
    <w:rsid w:val="22FE234B"/>
    <w:rsid w:val="26747E2C"/>
    <w:rsid w:val="277610D5"/>
    <w:rsid w:val="277E6F02"/>
    <w:rsid w:val="29242571"/>
    <w:rsid w:val="29990575"/>
    <w:rsid w:val="2AF6742D"/>
    <w:rsid w:val="2DEE030A"/>
    <w:rsid w:val="2E833798"/>
    <w:rsid w:val="312A2265"/>
    <w:rsid w:val="34A44525"/>
    <w:rsid w:val="36FC0F5D"/>
    <w:rsid w:val="375773F8"/>
    <w:rsid w:val="38044D88"/>
    <w:rsid w:val="38CC5315"/>
    <w:rsid w:val="393E32BB"/>
    <w:rsid w:val="3CAC3968"/>
    <w:rsid w:val="3F4F040C"/>
    <w:rsid w:val="3F577E93"/>
    <w:rsid w:val="419B2857"/>
    <w:rsid w:val="41D71DA8"/>
    <w:rsid w:val="44CE29A6"/>
    <w:rsid w:val="45D249F5"/>
    <w:rsid w:val="47C50090"/>
    <w:rsid w:val="4C6611ED"/>
    <w:rsid w:val="4DEF7A42"/>
    <w:rsid w:val="528648C0"/>
    <w:rsid w:val="552A0475"/>
    <w:rsid w:val="578D10CB"/>
    <w:rsid w:val="5A5915AC"/>
    <w:rsid w:val="60763ADB"/>
    <w:rsid w:val="66E16111"/>
    <w:rsid w:val="697A47E4"/>
    <w:rsid w:val="6A12486A"/>
    <w:rsid w:val="6D487B14"/>
    <w:rsid w:val="6FAF27B6"/>
    <w:rsid w:val="753C4E9B"/>
    <w:rsid w:val="77445FBB"/>
    <w:rsid w:val="77CA616D"/>
    <w:rsid w:val="781113A7"/>
    <w:rsid w:val="791E6510"/>
    <w:rsid w:val="79A63A67"/>
    <w:rsid w:val="7C8D4A41"/>
    <w:rsid w:val="7C9048DB"/>
    <w:rsid w:val="7EDF56F8"/>
    <w:rsid w:val="FBAB8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HAnsi" w:hAnsiTheme="majorHAnsi" w:cstheme="majorBidi"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ind w:firstLine="64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Body Text First Indent 2"/>
    <w:basedOn w:val="3"/>
    <w:unhideWhenUsed/>
    <w:qFormat/>
    <w:uiPriority w:val="99"/>
    <w:pPr>
      <w:ind w:firstLine="420"/>
    </w:pPr>
  </w:style>
  <w:style w:type="paragraph" w:customStyle="1" w:styleId="10">
    <w:name w:val="标题1"/>
    <w:basedOn w:val="2"/>
    <w:qFormat/>
    <w:uiPriority w:val="0"/>
    <w:rPr>
      <w:rFonts w:eastAsia="黑体"/>
    </w:rPr>
  </w:style>
  <w:style w:type="paragraph" w:customStyle="1" w:styleId="11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5070a4e6-01fd-41b1-b13c-ecbb9000e3ed</errorID>
      <errorWord xmlns="http://schemas.wps.cn/vas-ai-hub/contract-review">预算法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中华人民共和国预算法</item>
      </candidateList>
      <explain xmlns="http://schemas.wps.cn/vas-ai-hub/contract-review">当前法律法规名称使用简称，请注意是否应当使用全称。</explain>
      <paraID xmlns="http://schemas.wps.cn/vas-ai-hub/contract-review">7567555C</paraID>
      <start xmlns="http://schemas.wps.cn/vas-ai-hub/contract-review">3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47a3f9f3-a2b1-4ee3-a0bb-f3f92e303d4c</errorID>
      <errorWord xmlns="http://schemas.wps.cn/vas-ai-hub/contract-review">共产党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如共产党</item>
      </candidateList>
      <explain xmlns="http://schemas.wps.cn/vas-ai-hub/contract-review">此处内容疑似含有固定表述相关错误，建议核查。</explain>
      <paraID xmlns="http://schemas.wps.cn/vas-ai-hub/contract-review">707655EE</paraID>
      <start xmlns="http://schemas.wps.cn/vas-ai-hub/contract-review">37</start>
      <end xmlns="http://schemas.wps.cn/vas-ai-hub/contract-review">40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574c615c-d601-4e26-b9fd-fe04bb433c4e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469AFE16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75d0b2e8-75bf-48db-bbf8-af3e76fb9bc8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AE27A93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c5282811-ef02-4ba5-8888-eba97cd13e84</errorID>
      <errorWord xmlns="http://schemas.wps.cn/vas-ai-hub/contract-review">组织实施村乡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组织实施乡村</item>
      </candidateList>
      <explain xmlns="http://schemas.wps.cn/vas-ai-hub/contract-review"/>
      <paraID xmlns="http://schemas.wps.cn/vas-ai-hub/contract-review"> AE27A93</paraID>
      <start xmlns="http://schemas.wps.cn/vas-ai-hub/contract-review">10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aeac67d4-a6c4-4ae2-89a9-da754680c4e1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7B570708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53ae46b5-17f2-4691-b78a-2f45abb3ae08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68A074B5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1b45f3af-69a9-43aa-8221-3651c9545d24</errorID>
      <errorWord xmlns="http://schemas.wps.cn/vas-ai-hub/contract-review">5、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22D0CA8F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61773451-5286-4609-8430-f86f58c57c5f</errorID>
      <errorWord xmlns="http://schemas.wps.cn/vas-ai-hub/contract-review">6、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6.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3EDFDC7B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a5bbdb4a-e61c-416a-ba17-3ff39dace392</errorID>
      <errorWord xmlns="http://schemas.wps.cn/vas-ai-hub/contract-review">其它事项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其他事项</item>
      </candidateList>
      <explain xmlns="http://schemas.wps.cn/vas-ai-hub/contract-review"/>
      <paraID xmlns="http://schemas.wps.cn/vas-ai-hub/contract-review">3EDFDC7B</paraID>
      <start xmlns="http://schemas.wps.cn/vas-ai-hub/contract-review">16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6b79dd8f-7c3d-46e7-95ba-b0d8bfee36b1</errorID>
      <errorWord xmlns="http://schemas.wps.cn/vas-ai-hub/contract-review">(1)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（1）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1B38F622</paraID>
      <start xmlns="http://schemas.wps.cn/vas-ai-hub/contract-review">4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45ca67d1-9244-4e6c-be24-01218cf7d344</errorID>
      <errorWord xmlns="http://schemas.wps.cn/vas-ai-hub/contract-review">三公经费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“三公”经费</item>
      </candidateList>
      <explain xmlns="http://schemas.wps.cn/vas-ai-hub/contract-review">注意检查当前固定表述标点是否使用规范。</explain>
      <paraID xmlns="http://schemas.wps.cn/vas-ai-hub/contract-review"> F7335FB</paraID>
      <start xmlns="http://schemas.wps.cn/vas-ai-hub/contract-review">65</start>
      <end xmlns="http://schemas.wps.cn/vas-ai-hub/contract-review">71</end>
      <status xmlns="http://schemas.wps.cn/vas-ai-hub/contract-review">modified</status>
      <modifiedWord xmlns="http://schemas.wps.cn/vas-ai-hub/contract-review">“三公”经费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fd32fe51-6d9f-43b2-9ca0-f856b2cb8d5f</errorID>
      <errorWord xmlns="http://schemas.wps.cn/vas-ai-hub/contract-review">(2)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（2）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593C7155</paraID>
      <start xmlns="http://schemas.wps.cn/vas-ai-hub/contract-review">0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321efd6e-6493-46c7-9e53-46c365ba76a7</errorID>
      <errorWord xmlns="http://schemas.wps.cn/vas-ai-hub/contract-review">支出为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支出</item>
      </candidateList>
      <explain xmlns="http://schemas.wps.cn/vas-ai-hub/contract-review"/>
      <paraID xmlns="http://schemas.wps.cn/vas-ai-hub/contract-review">4AC536BC</paraID>
      <start xmlns="http://schemas.wps.cn/vas-ai-hub/contract-review">87</start>
      <end xmlns="http://schemas.wps.cn/vas-ai-hub/contract-review">89</end>
      <status xmlns="http://schemas.wps.cn/vas-ai-hub/contract-review">modified</status>
      <modifiedWord xmlns="http://schemas.wps.cn/vas-ai-hub/contract-review">支出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20cf83ea-8a68-40c3-a7f6-1cd5cd482acd</errorID>
      <errorWord xmlns="http://schemas.wps.cn/vas-ai-hub/contract-review">“三公“经费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“三公”经费</item>
      </candidateList>
      <explain xmlns="http://schemas.wps.cn/vas-ai-hub/contract-review">注意检查当前固定表述标点是否使用规范。</explain>
      <paraID xmlns="http://schemas.wps.cn/vas-ai-hub/contract-review">39A4152B</paraID>
      <start xmlns="http://schemas.wps.cn/vas-ai-hub/contract-review">5</start>
      <end xmlns="http://schemas.wps.cn/vas-ai-hub/contract-review">11</end>
      <status xmlns="http://schemas.wps.cn/vas-ai-hub/contract-review">modified</status>
      <modifiedWord xmlns="http://schemas.wps.cn/vas-ai-hub/contract-review">“三公”经费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0ae6a229-28ae-4118-8820-08d32bfb5206</errorID>
      <errorWord xmlns="http://schemas.wps.cn/vas-ai-hub/contract-review">“三公经费”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“三公”经费</item>
      </candidateList>
      <explain xmlns="http://schemas.wps.cn/vas-ai-hub/contract-review">注意检查当前固定表述标点是否使用规范。</explain>
      <paraID xmlns="http://schemas.wps.cn/vas-ai-hub/contract-review">39A4152B</paraID>
      <start xmlns="http://schemas.wps.cn/vas-ai-hub/contract-review">64</start>
      <end xmlns="http://schemas.wps.cn/vas-ai-hub/contract-review">70</end>
      <status xmlns="http://schemas.wps.cn/vas-ai-hub/contract-review">modified</status>
      <modifiedWord xmlns="http://schemas.wps.cn/vas-ai-hub/contract-review">“三公”经费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093e9834-91b7-4c1c-97a6-4e5cff05d3a0</errorID>
      <errorWord xmlns="http://schemas.wps.cn/vas-ai-hub/contract-review">上面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上</item>
      </candidateList>
      <explain xmlns="http://schemas.wps.cn/vas-ai-hub/contract-review"/>
      <paraID xmlns="http://schemas.wps.cn/vas-ai-hub/contract-review">21DFA92A</paraID>
      <start xmlns="http://schemas.wps.cn/vas-ai-hub/contract-review">57</start>
      <end xmlns="http://schemas.wps.cn/vas-ai-hub/contract-review">58</end>
      <status xmlns="http://schemas.wps.cn/vas-ai-hub/contract-review">modified</status>
      <modifiedWord xmlns="http://schemas.wps.cn/vas-ai-hub/contract-review">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7fa1eeee-2f08-439d-926a-4f48ffdda24a</errorID>
      <errorWord xmlns="http://schemas.wps.cn/vas-ai-hub/contract-review">扣压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扣押</item>
      </candidateList>
      <explain xmlns="http://schemas.wps.cn/vas-ai-hub/contract-review">存在发音相同字词的误用。</explain>
      <paraID xmlns="http://schemas.wps.cn/vas-ai-hub/contract-review">5482BC61</paraID>
      <start xmlns="http://schemas.wps.cn/vas-ai-hub/contract-review">155</start>
      <end xmlns="http://schemas.wps.cn/vas-ai-hub/contract-review">157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8bd2d039-975b-4722-8c36-52ba39e4b318</errorID>
      <errorWord xmlns="http://schemas.wps.cn/vas-ai-hub/contract-review">扶贫支出支出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扶贫支出</item>
      </candidateList>
      <explain xmlns="http://schemas.wps.cn/vas-ai-hub/contract-review">实体一致性，原文此处重复表述，不符合原文前后一致的使用规范</explain>
      <paraID xmlns="http://schemas.wps.cn/vas-ai-hub/contract-review">22151F56</paraID>
      <start xmlns="http://schemas.wps.cn/vas-ai-hub/contract-review">14</start>
      <end xmlns="http://schemas.wps.cn/vas-ai-hub/contract-review">18</end>
      <status xmlns="http://schemas.wps.cn/vas-ai-hub/contract-review">modified</status>
      <modifiedWord xmlns="http://schemas.wps.cn/vas-ai-hub/contract-review">扶贫支出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556d49c6-ad02-4535-88b2-d08757ab3ede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62BF9390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2281ec2a-8028-4579-87ea-737f50eff813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5EBFF0B0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c45f86f3-996a-4c43-bc43-31174192dcf0</errorID>
      <errorWord xmlns="http://schemas.wps.cn/vas-ai-hub/contract-review">扣压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扣押</item>
      </candidateList>
      <explain xmlns="http://schemas.wps.cn/vas-ai-hub/contract-review">存在发音相同字词的误用。</explain>
      <paraID xmlns="http://schemas.wps.cn/vas-ai-hub/contract-review">5EBFF0B0</paraID>
      <start xmlns="http://schemas.wps.cn/vas-ai-hub/contract-review">67</start>
      <end xmlns="http://schemas.wps.cn/vas-ai-hub/contract-review">69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950c761b-0a5f-4e57-ae32-a2e95141dcd1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2E66293F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52429729-2646-4a24-8fd0-73c8d583e51b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260E8BE4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1e22d1ad-3e52-4c5b-8b59-d80c1374ec05</errorID>
      <errorWord xmlns="http://schemas.wps.cn/vas-ai-hub/contract-review">国定资产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固定资产</item>
      </candidateList>
      <explain xmlns="http://schemas.wps.cn/vas-ai-hub/contract-review"/>
      <paraID xmlns="http://schemas.wps.cn/vas-ai-hub/contract-review">73D55EB2</paraID>
      <start xmlns="http://schemas.wps.cn/vas-ai-hub/contract-review">73</start>
      <end xmlns="http://schemas.wps.cn/vas-ai-hub/contract-review">77</end>
      <status xmlns="http://schemas.wps.cn/vas-ai-hub/contract-review">modified</status>
      <modifiedWord xmlns="http://schemas.wps.cn/vas-ai-hub/contract-review">固定资产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a951f74f-5017-4dc6-9171-b9c0ba988419</errorID>
      <errorWord xmlns="http://schemas.wps.cn/vas-ai-hub/contract-review">继续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以继续</item>
      </candidateList>
      <explain xmlns="http://schemas.wps.cn/vas-ai-hub/contract-review"/>
      <paraID xmlns="http://schemas.wps.cn/vas-ai-hub/contract-review">1C486882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以继续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83048616-b5db-43f0-85fa-dc0878c94cbc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为重点，</item>
      </candidateList>
      <explain xmlns="http://schemas.wps.cn/vas-ai-hub/contract-review"/>
      <paraID xmlns="http://schemas.wps.cn/vas-ai-hub/contract-review">1C486882</paraID>
      <start xmlns="http://schemas.wps.cn/vas-ai-hub/contract-review">11</start>
      <end xmlns="http://schemas.wps.cn/vas-ai-hub/contract-review">15</end>
      <status xmlns="http://schemas.wps.cn/vas-ai-hub/contract-review">modified</status>
      <modifiedWord xmlns="http://schemas.wps.cn/vas-ai-hub/contract-review">为重点，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6b6628ff-130b-4c72-9d35-c5d8b2580e65</errorID>
      <errorWord xmlns="http://schemas.wps.cn/vas-ai-hub/contract-review">产业为重点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产业</item>
      </candidateList>
      <explain xmlns="http://schemas.wps.cn/vas-ai-hub/contract-review"/>
      <paraID xmlns="http://schemas.wps.cn/vas-ai-hub/contract-review">1C486882</paraID>
      <start xmlns="http://schemas.wps.cn/vas-ai-hub/contract-review">44</start>
      <end xmlns="http://schemas.wps.cn/vas-ai-hub/contract-review">46</end>
      <status xmlns="http://schemas.wps.cn/vas-ai-hub/contract-review">modified</status>
      <modifiedWord xmlns="http://schemas.wps.cn/vas-ai-hub/contract-review">产业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3ee591c3-d832-451d-a1b4-d388fd19838e</errorID>
      <errorWord xmlns="http://schemas.wps.cn/vas-ai-hub/contract-review">庭园经济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庭院经济</item>
      </candidateList>
      <explain xmlns="http://schemas.wps.cn/vas-ai-hub/contract-review">词汇“庭院经济”在特定场景下为固定表述形式，请确认此处的“庭园经济”是否存在不当。</explain>
      <paraID xmlns="http://schemas.wps.cn/vas-ai-hub/contract-review">3798F74D</paraID>
      <start xmlns="http://schemas.wps.cn/vas-ai-hub/contract-review">51</start>
      <end xmlns="http://schemas.wps.cn/vas-ai-hub/contract-review">55</end>
      <status xmlns="http://schemas.wps.cn/vas-ai-hub/contract-review">modified</status>
      <modifiedWord xmlns="http://schemas.wps.cn/vas-ai-hub/contract-review">庭院经济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c0fbaec2-b3b9-4fde-8dad-eae02ebfc0be</errorID>
      <errorWord xmlns="http://schemas.wps.cn/vas-ai-hub/contract-review">巩固脱贫攻坚成果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巩固拓展脱贫攻坚成果</item>
      </candidateList>
      <explain xmlns="http://schemas.wps.cn/vas-ai-hub/contract-review"/>
      <paraID xmlns="http://schemas.wps.cn/vas-ai-hub/contract-review"> 8E96A63</paraID>
      <start xmlns="http://schemas.wps.cn/vas-ai-hub/contract-review">11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f9f656d5-515e-4cd6-a173-f149a4f9522c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4C74F98E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a309c049-8bb8-4bb8-b1ce-d294a1da4e12</errorID>
      <errorWord xmlns="http://schemas.wps.cn/vas-ai-hub/contract-review">产业机构调整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产业结构调整</item>
      </candidateList>
      <explain xmlns="http://schemas.wps.cn/vas-ai-hub/contract-review">此处内容疑似含有固定表述相关错误，建议核查。</explain>
      <paraID xmlns="http://schemas.wps.cn/vas-ai-hub/contract-review">4C74F98E</paraID>
      <start xmlns="http://schemas.wps.cn/vas-ai-hub/contract-review">131</start>
      <end xmlns="http://schemas.wps.cn/vas-ai-hub/contract-review">137</end>
      <status xmlns="http://schemas.wps.cn/vas-ai-hub/contract-review">modified</status>
      <modifiedWord xmlns="http://schemas.wps.cn/vas-ai-hub/contract-review">产业结构调整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ced3dd47-dbc3-472a-afcd-768d20137b30</errorID>
      <errorWord xmlns="http://schemas.wps.cn/vas-ai-hub/contract-review">开过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开拓</item>
      </candidateList>
      <explain xmlns="http://schemas.wps.cn/vas-ai-hub/contract-review"/>
      <paraID xmlns="http://schemas.wps.cn/vas-ai-hub/contract-review">7E0DEB4F</paraID>
      <start xmlns="http://schemas.wps.cn/vas-ai-hub/contract-review">82</start>
      <end xmlns="http://schemas.wps.cn/vas-ai-hub/contract-review">84</end>
      <status xmlns="http://schemas.wps.cn/vas-ai-hub/contract-review">modified</status>
      <modifiedWord xmlns="http://schemas.wps.cn/vas-ai-hub/contract-review">开拓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095f3ea2-b3b0-4dd4-b31e-cd48b24ab8d4</errorID>
      <errorWord xmlns="http://schemas.wps.cn/vas-ai-hub/contract-review">制度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制定</item>
      </candidateList>
      <explain xmlns="http://schemas.wps.cn/vas-ai-hub/contract-review"/>
      <paraID xmlns="http://schemas.wps.cn/vas-ai-hub/contract-review">1FAE0A54</paraID>
      <start xmlns="http://schemas.wps.cn/vas-ai-hub/contract-review">120</start>
      <end xmlns="http://schemas.wps.cn/vas-ai-hub/contract-review">122</end>
      <status xmlns="http://schemas.wps.cn/vas-ai-hub/contract-review">modified</status>
      <modifiedWord xmlns="http://schemas.wps.cn/vas-ai-hub/contract-review">制定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70acfb95-b9ad-4dff-8d38-acf62bcbeeac</errorID>
      <errorWord xmlns="http://schemas.wps.cn/vas-ai-hub/contract-review">“三公经费”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“三公”经费</item>
      </candidateList>
      <explain xmlns="http://schemas.wps.cn/vas-ai-hub/contract-review">注意检查当前固定表述标点是否使用规范。</explain>
      <paraID xmlns="http://schemas.wps.cn/vas-ai-hub/contract-review"> CC00BCA</paraID>
      <start xmlns="http://schemas.wps.cn/vas-ai-hub/contract-review">7</start>
      <end xmlns="http://schemas.wps.cn/vas-ai-hub/contract-review">13</end>
      <status xmlns="http://schemas.wps.cn/vas-ai-hub/contract-review">modified</status>
      <modifiedWord xmlns="http://schemas.wps.cn/vas-ai-hub/contract-review">“三公”经费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4450f9-78c0-47ee-8f6e-ad235c2e79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3437</Words>
  <Characters>3554</Characters>
  <Lines>2</Lines>
  <Paragraphs>7</Paragraphs>
  <TotalTime>35</TotalTime>
  <ScaleCrop>false</ScaleCrop>
  <LinksUpToDate>false</LinksUpToDate>
  <CharactersWithSpaces>3630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2026-06-26T08:54:00Z</dcterms:created>
  <dc:creator>1402836399</dc:creator>
  <cp:lastModifiedBy>米圆梦</cp:lastModifiedBy>
  <cp:lastPrinted>2024-02-26T11:24:00Z</cp:lastPrinted>
  <dcterms:modified xsi:type="dcterms:W3CDTF">2026-10-23T10:53:00Z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38E3D040268F4863B60FC3A44927DC4E_13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