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45C2B">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0"/>
        <w:jc w:val="center"/>
        <w:textAlignment w:val="baseline"/>
        <w:rPr>
          <w:rFonts w:hint="eastAsia" w:ascii="方正公文小标宋" w:hAnsi="方正公文小标宋" w:eastAsia="方正公文小标宋" w:cs="方正公文小标宋"/>
          <w:b w:val="0"/>
          <w:bCs w:val="0"/>
          <w:snapToGrid w:val="0"/>
          <w:color w:val="000000"/>
          <w:kern w:val="0"/>
          <w:sz w:val="44"/>
          <w:szCs w:val="44"/>
          <w:lang w:val="en-US" w:eastAsia="zh-CN" w:bidi="ar-SA"/>
        </w:rPr>
      </w:pPr>
      <w:bookmarkStart w:id="0" w:name="_GoBack"/>
      <w:r>
        <w:rPr>
          <w:rFonts w:hint="eastAsia" w:ascii="方正公文小标宋" w:hAnsi="方正公文小标宋" w:eastAsia="方正公文小标宋" w:cs="方正公文小标宋"/>
          <w:b w:val="0"/>
          <w:bCs w:val="0"/>
          <w:snapToGrid w:val="0"/>
          <w:color w:val="000000"/>
          <w:kern w:val="0"/>
          <w:sz w:val="44"/>
          <w:szCs w:val="44"/>
          <w:lang w:val="en-US" w:eastAsia="zh-CN" w:bidi="ar-SA"/>
        </w:rPr>
        <w:t>2026年沅陵县秸秆综合利用奖补项目</w:t>
      </w:r>
    </w:p>
    <w:p w14:paraId="55B2F4AC">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0"/>
        <w:jc w:val="center"/>
        <w:textAlignment w:val="baseline"/>
        <w:rPr>
          <w:rFonts w:hint="eastAsia" w:ascii="方正公文小标宋" w:hAnsi="方正公文小标宋" w:eastAsia="方正公文小标宋" w:cs="方正公文小标宋"/>
          <w:b w:val="0"/>
          <w:bCs w:val="0"/>
          <w:snapToGrid w:val="0"/>
          <w:color w:val="000000"/>
          <w:kern w:val="0"/>
          <w:sz w:val="44"/>
          <w:szCs w:val="44"/>
          <w:lang w:val="en-US" w:eastAsia="zh-CN" w:bidi="ar-SA"/>
        </w:rPr>
      </w:pPr>
      <w:r>
        <w:rPr>
          <w:rFonts w:hint="eastAsia" w:ascii="方正公文小标宋" w:hAnsi="方正公文小标宋" w:eastAsia="方正公文小标宋" w:cs="方正公文小标宋"/>
          <w:b w:val="0"/>
          <w:bCs w:val="0"/>
          <w:snapToGrid w:val="0"/>
          <w:color w:val="000000"/>
          <w:kern w:val="0"/>
          <w:sz w:val="44"/>
          <w:szCs w:val="44"/>
          <w:lang w:val="en-US" w:eastAsia="zh-CN" w:bidi="ar-SA"/>
        </w:rPr>
        <w:t>实施方案</w:t>
      </w:r>
    </w:p>
    <w:p w14:paraId="3FC90D69">
      <w:pPr>
        <w:keepNext w:val="0"/>
        <w:keepLines w:val="0"/>
        <w:pageBreakBefore w:val="0"/>
        <w:widowControl/>
        <w:kinsoku w:val="0"/>
        <w:wordWrap/>
        <w:overflowPunct/>
        <w:topLinePunct w:val="0"/>
        <w:autoSpaceDE w:val="0"/>
        <w:autoSpaceDN w:val="0"/>
        <w:bidi w:val="0"/>
        <w:adjustRightInd w:val="0"/>
        <w:snapToGrid w:val="0"/>
        <w:spacing w:after="0" w:line="400" w:lineRule="exact"/>
        <w:ind w:left="0" w:firstLine="0"/>
        <w:jc w:val="center"/>
        <w:textAlignment w:val="baseline"/>
        <w:rPr>
          <w:rFonts w:hint="eastAsia" w:ascii="仿宋" w:hAnsi="仿宋" w:eastAsia="仿宋" w:cs="仿宋"/>
          <w:snapToGrid w:val="0"/>
          <w:color w:val="000000"/>
          <w:kern w:val="0"/>
          <w:sz w:val="44"/>
          <w:szCs w:val="44"/>
          <w:lang w:val="en-US" w:eastAsia="zh-CN" w:bidi="ar-SA"/>
        </w:rPr>
      </w:pPr>
    </w:p>
    <w:bookmarkEnd w:id="0"/>
    <w:p w14:paraId="71C242B6">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为全面提高全县秸秆综合利用水平，促进农业绿色可持续发展，着力构建“政府引导、市场运作、科技赋能、多元利用”的秸秆综合利用长效机制，推动提升农作物秸秆产业化利用水平，有效促进生态环境改善、农民增收和农业可持续发展，特制定本实施方案。</w:t>
      </w:r>
    </w:p>
    <w:p w14:paraId="48B02812">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黑体" w:hAnsi="黑体" w:eastAsia="黑体" w:cs="黑体"/>
          <w:b w:val="0"/>
          <w:bCs w:val="0"/>
          <w:snapToGrid w:val="0"/>
          <w:color w:val="000000"/>
          <w:kern w:val="0"/>
          <w:sz w:val="32"/>
          <w:szCs w:val="32"/>
          <w:lang w:val="en-US" w:eastAsia="zh-CN" w:bidi="ar-SA"/>
        </w:rPr>
      </w:pPr>
      <w:r>
        <w:rPr>
          <w:rFonts w:hint="eastAsia" w:ascii="黑体" w:hAnsi="黑体" w:eastAsia="黑体" w:cs="黑体"/>
          <w:b w:val="0"/>
          <w:bCs w:val="0"/>
          <w:snapToGrid w:val="0"/>
          <w:color w:val="000000"/>
          <w:kern w:val="0"/>
          <w:sz w:val="32"/>
          <w:szCs w:val="32"/>
          <w:lang w:val="en-US" w:eastAsia="zh-CN" w:bidi="ar-SA"/>
        </w:rPr>
        <w:t>一、工作目标</w:t>
      </w:r>
    </w:p>
    <w:p w14:paraId="48B0580D">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通过秸秆综合利用奖补项目的实施带动，聚焦秸秆高值化利用，健全完善秸秆收储运体系，培育壮大专业化秸秆综合利用的市场主体，形成布局合理、精准加工、多元利用的秸秆综合利用产业化格局，</w:t>
      </w:r>
      <w:r>
        <w:rPr>
          <w:rFonts w:ascii="仿宋" w:hAnsi="仿宋" w:eastAsia="仿宋" w:cs="仿宋"/>
          <w:b w:val="0"/>
          <w:bCs w:val="0"/>
          <w:snapToGrid w:val="0"/>
          <w:color w:val="000000"/>
          <w:kern w:val="0"/>
          <w:sz w:val="32"/>
          <w:szCs w:val="32"/>
          <w:lang w:val="en-US" w:eastAsia="zh-CN" w:bidi="ar-SA"/>
        </w:rPr>
        <w:t>力争</w:t>
      </w:r>
      <w:r>
        <w:rPr>
          <w:rFonts w:hint="eastAsia" w:ascii="仿宋" w:hAnsi="仿宋" w:eastAsia="仿宋" w:cs="仿宋"/>
          <w:b w:val="0"/>
          <w:bCs w:val="0"/>
          <w:snapToGrid w:val="0"/>
          <w:color w:val="000000"/>
          <w:kern w:val="0"/>
          <w:sz w:val="32"/>
          <w:szCs w:val="32"/>
          <w:lang w:val="en-US" w:eastAsia="zh-CN" w:bidi="ar-SA"/>
        </w:rPr>
        <w:t>全县秸秆综合利用率稳定在95％以上，探索出可持续、可推广的秸秆资源化综合利用模式和长效机制，持续解决秸秆焚烧问题，缓解大气环境污染，助力实现农村更美、农业增效和农民增收。</w:t>
      </w:r>
    </w:p>
    <w:p w14:paraId="142EBC57">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黑体" w:hAnsi="黑体" w:eastAsia="黑体" w:cs="黑体"/>
          <w:b w:val="0"/>
          <w:bCs w:val="0"/>
          <w:snapToGrid w:val="0"/>
          <w:color w:val="000000"/>
          <w:kern w:val="0"/>
          <w:sz w:val="32"/>
          <w:szCs w:val="32"/>
          <w:lang w:val="en-US" w:eastAsia="zh-CN" w:bidi="ar-SA"/>
        </w:rPr>
      </w:pPr>
      <w:r>
        <w:rPr>
          <w:rFonts w:hint="eastAsia" w:ascii="黑体" w:hAnsi="黑体" w:eastAsia="黑体" w:cs="黑体"/>
          <w:b w:val="0"/>
          <w:bCs w:val="0"/>
          <w:snapToGrid w:val="0"/>
          <w:color w:val="000000"/>
          <w:kern w:val="0"/>
          <w:sz w:val="32"/>
          <w:szCs w:val="32"/>
          <w:lang w:val="en-US" w:eastAsia="zh-CN" w:bidi="ar-SA"/>
        </w:rPr>
        <w:t>二、重点任务及建设内容</w:t>
      </w:r>
    </w:p>
    <w:p w14:paraId="5C81DBB4">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根据我县的秸秆资源总量、专业化秸秆利用企业情况以及秸秆资源市场多元化需求情况，2026年我县农作物秸秆综合利用奖补项目重点支持秸秆高质量还田、秸秆离田及产业化利用、标准化秸秆收储网点建设、农机具购置等。</w:t>
      </w:r>
    </w:p>
    <w:p w14:paraId="2EEABD6D">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（一）推行深翻埋茬还田模式</w:t>
      </w:r>
    </w:p>
    <w:p w14:paraId="5168C8DB">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水稻收获后，对具备条件的稻田采用翻转犁实施深翻作业，翻耕深度达到20-25厘米，将秸秆全量埋入耕层土壤，加快秸秆腐解转化，提升土壤有机质含量，改良耕地质量，从源头减少秸秆焚烧风险。</w:t>
      </w:r>
      <w:r>
        <w:rPr>
          <w:rFonts w:ascii="仿宋" w:hAnsi="仿宋" w:eastAsia="仿宋" w:cs="仿宋"/>
          <w:b w:val="0"/>
          <w:bCs w:val="0"/>
          <w:snapToGrid w:val="0"/>
          <w:color w:val="000000"/>
          <w:kern w:val="0"/>
          <w:sz w:val="32"/>
          <w:szCs w:val="32"/>
          <w:lang w:val="en-US" w:eastAsia="zh-CN" w:bidi="ar-SA"/>
        </w:rPr>
        <w:t>力争</w:t>
      </w:r>
      <w:r>
        <w:rPr>
          <w:rFonts w:hint="eastAsia" w:ascii="仿宋" w:hAnsi="仿宋" w:eastAsia="仿宋" w:cs="仿宋"/>
          <w:b w:val="0"/>
          <w:bCs w:val="0"/>
          <w:snapToGrid w:val="0"/>
          <w:color w:val="000000"/>
          <w:kern w:val="0"/>
          <w:sz w:val="32"/>
          <w:szCs w:val="32"/>
          <w:lang w:val="en-US" w:eastAsia="zh-CN" w:bidi="ar-SA"/>
        </w:rPr>
        <w:t>全县作业面积</w:t>
      </w:r>
      <w:r>
        <w:rPr>
          <w:rFonts w:ascii="仿宋" w:hAnsi="仿宋" w:eastAsia="仿宋" w:cs="仿宋"/>
          <w:b w:val="0"/>
          <w:bCs w:val="0"/>
          <w:snapToGrid w:val="0"/>
          <w:color w:val="000000"/>
          <w:kern w:val="0"/>
          <w:sz w:val="32"/>
          <w:szCs w:val="32"/>
          <w:lang w:val="en-US" w:eastAsia="zh-CN" w:bidi="ar-SA"/>
        </w:rPr>
        <w:t>达</w:t>
      </w:r>
      <w:r>
        <w:rPr>
          <w:rFonts w:hint="eastAsia" w:ascii="仿宋" w:hAnsi="仿宋" w:eastAsia="仿宋" w:cs="仿宋"/>
          <w:b w:val="0"/>
          <w:bCs w:val="0"/>
          <w:snapToGrid w:val="0"/>
          <w:color w:val="000000"/>
          <w:kern w:val="0"/>
          <w:sz w:val="32"/>
          <w:szCs w:val="32"/>
          <w:lang w:val="en-US" w:eastAsia="zh-CN" w:bidi="ar-SA"/>
        </w:rPr>
        <w:t>20660亩。</w:t>
      </w:r>
    </w:p>
    <w:p w14:paraId="1E5113E0">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（二）推广秸秆离田及产业化利用</w:t>
      </w:r>
    </w:p>
    <w:p w14:paraId="35AA08EF">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按照自愿申报，依托我县专业农业服务企业、合作社、家庭农场等实施主体，大力推进秸秆离田和产业化利用，以饲料化为重点，完善秸秆收储运体系，扶持经营主体开展秸秆青贮、黄贮、加工，构建“秸-饲-肥”种养循环模式，实现秸秆资源化增值利用。支持秸秆利用主体开展厂房建设、秸秆收储、运输、加工设备购置和原有利用主体改扩建。</w:t>
      </w:r>
    </w:p>
    <w:p w14:paraId="40ED6079">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（三）标准化收储网点建设</w:t>
      </w:r>
    </w:p>
    <w:p w14:paraId="65DD8A17">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按照自愿申报、乡镇推荐流程，支持农业企业、专业合作社、家庭农场等实施主体新建、改扩建（2023年以来）秸秆收储库容1000m</w:t>
      </w:r>
      <w:r>
        <w:rPr>
          <w:rFonts w:hint="eastAsia" w:ascii="仿宋" w:hAnsi="仿宋" w:eastAsia="仿宋" w:cs="仿宋"/>
          <w:b w:val="0"/>
          <w:bCs w:val="0"/>
          <w:snapToGrid w:val="0"/>
          <w:color w:val="000000"/>
          <w:kern w:val="0"/>
          <w:sz w:val="32"/>
          <w:szCs w:val="32"/>
          <w:vertAlign w:val="superscript"/>
          <w:lang w:val="en-US" w:eastAsia="zh-CN" w:bidi="ar-SA"/>
        </w:rPr>
        <w:t>2</w:t>
      </w:r>
      <w:r>
        <w:rPr>
          <w:rFonts w:hint="eastAsia" w:ascii="仿宋" w:hAnsi="仿宋" w:eastAsia="仿宋" w:cs="仿宋"/>
          <w:b w:val="0"/>
          <w:bCs w:val="0"/>
          <w:snapToGrid w:val="0"/>
          <w:color w:val="000000"/>
          <w:kern w:val="0"/>
          <w:sz w:val="32"/>
          <w:szCs w:val="32"/>
          <w:lang w:val="en-US" w:eastAsia="zh-CN" w:bidi="ar-SA"/>
        </w:rPr>
        <w:t>以上的标准化秸秆收储网点。其中新建项目需契合县域收储布局规划，依托农村闲置用地合理布设，满足标准化存储、便捷转运等基础要求；改建、扩建项目侧重现有设施的功能升级，着力提升青（黄）贮容量、收储能力及作业效率；支持收储主体以长期租赁、入股合作、流转经营等方式，跨村联建、村企共建。</w:t>
      </w:r>
    </w:p>
    <w:p w14:paraId="471C9C86">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（四）支持秸秆还田机具购置</w:t>
      </w:r>
    </w:p>
    <w:p w14:paraId="7CA79119">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鼓出台叠加奖补加大秸秆还田机具配置力度，充分用好农机购置补贴政策，支持农机合作社、种植大户等经营主体购置水稻收割粉碎一体机、灭茬机，鼓励联合收割机加装秸秆粉碎抛撒装置，补齐丘陵山区秸秆机械化还田装备短板</w:t>
      </w:r>
      <w:r>
        <w:rPr>
          <w:rFonts w:ascii="仿宋" w:hAnsi="仿宋" w:eastAsia="仿宋" w:cs="仿宋"/>
          <w:b w:val="0"/>
          <w:bCs w:val="0"/>
          <w:snapToGrid w:val="0"/>
          <w:color w:val="000000"/>
          <w:kern w:val="0"/>
          <w:sz w:val="32"/>
          <w:szCs w:val="32"/>
          <w:lang w:val="en-US" w:eastAsia="zh-CN" w:bidi="ar-SA"/>
        </w:rPr>
        <w:t>，粉碎还田方面有其他资金奖补，在此不再重复</w:t>
      </w:r>
      <w:r>
        <w:rPr>
          <w:rFonts w:hint="eastAsia" w:ascii="仿宋" w:hAnsi="仿宋" w:eastAsia="仿宋" w:cs="仿宋"/>
          <w:b w:val="0"/>
          <w:bCs w:val="0"/>
          <w:snapToGrid w:val="0"/>
          <w:color w:val="000000"/>
          <w:kern w:val="0"/>
          <w:sz w:val="32"/>
          <w:szCs w:val="32"/>
          <w:lang w:val="en-US" w:eastAsia="zh-CN" w:bidi="ar-SA"/>
        </w:rPr>
        <w:t>。</w:t>
      </w:r>
    </w:p>
    <w:p w14:paraId="09876537">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黑体" w:hAnsi="黑体" w:eastAsia="黑体" w:cs="黑体"/>
          <w:b w:val="0"/>
          <w:bCs w:val="0"/>
          <w:snapToGrid w:val="0"/>
          <w:color w:val="000000"/>
          <w:kern w:val="0"/>
          <w:sz w:val="32"/>
          <w:szCs w:val="32"/>
          <w:lang w:val="en-US" w:eastAsia="zh-CN" w:bidi="ar-SA"/>
        </w:rPr>
      </w:pPr>
      <w:r>
        <w:rPr>
          <w:rFonts w:hint="eastAsia" w:ascii="黑体" w:hAnsi="黑体" w:eastAsia="黑体" w:cs="黑体"/>
          <w:b w:val="0"/>
          <w:bCs w:val="0"/>
          <w:snapToGrid w:val="0"/>
          <w:color w:val="000000"/>
          <w:kern w:val="0"/>
          <w:sz w:val="32"/>
          <w:szCs w:val="32"/>
          <w:lang w:val="en-US" w:eastAsia="zh-CN" w:bidi="ar-SA"/>
        </w:rPr>
        <w:t>三、资金使用、补贴标准及程序</w:t>
      </w:r>
    </w:p>
    <w:p w14:paraId="710745E8">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（一）资金使用及奖补标准</w:t>
      </w:r>
    </w:p>
    <w:p w14:paraId="0FFC50B8">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资金使用</w:t>
      </w:r>
      <w:r>
        <w:rPr>
          <w:rFonts w:hint="eastAsia" w:ascii="仿宋" w:hAnsi="仿宋" w:eastAsia="仿宋" w:cs="仿宋"/>
          <w:b w:val="0"/>
          <w:bCs w:val="0"/>
          <w:snapToGrid w:val="0"/>
          <w:color w:val="000000"/>
          <w:kern w:val="0"/>
          <w:sz w:val="32"/>
          <w:szCs w:val="32"/>
          <w:lang w:val="en-US" w:eastAsia="zh-CN" w:bidi="ar-SA"/>
        </w:rPr>
        <w:t>及奖补标准</w:t>
      </w:r>
      <w:r>
        <w:rPr>
          <w:rFonts w:ascii="仿宋" w:hAnsi="仿宋" w:eastAsia="仿宋" w:cs="仿宋"/>
          <w:b w:val="0"/>
          <w:bCs w:val="0"/>
          <w:snapToGrid w:val="0"/>
          <w:color w:val="000000"/>
          <w:kern w:val="0"/>
          <w:sz w:val="32"/>
          <w:szCs w:val="32"/>
          <w:lang w:val="en-US" w:eastAsia="zh-CN" w:bidi="ar-SA"/>
        </w:rPr>
        <w:t>：</w:t>
      </w:r>
    </w:p>
    <w:p w14:paraId="26CB6B48">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1.秸秆深翻埋茬建设。整合农业社会化服务资金和粮油单产提升资金，共计93万元。稻田水稻收获后，</w:t>
      </w:r>
      <w:r>
        <w:rPr>
          <w:rFonts w:ascii="仿宋" w:hAnsi="仿宋" w:eastAsia="仿宋" w:cs="仿宋"/>
          <w:b w:val="0"/>
          <w:bCs w:val="0"/>
          <w:snapToGrid w:val="0"/>
          <w:color w:val="auto"/>
          <w:kern w:val="0"/>
          <w:sz w:val="32"/>
          <w:szCs w:val="32"/>
          <w:lang w:val="en-US" w:eastAsia="zh-CN" w:bidi="ar-SA"/>
        </w:rPr>
        <w:t>采取先</w:t>
      </w:r>
      <w:r>
        <w:rPr>
          <w:rFonts w:hint="eastAsia" w:ascii="仿宋" w:hAnsi="仿宋" w:eastAsia="仿宋" w:cs="仿宋"/>
          <w:b w:val="0"/>
          <w:bCs w:val="0"/>
          <w:snapToGrid w:val="0"/>
          <w:color w:val="auto"/>
          <w:kern w:val="0"/>
          <w:sz w:val="32"/>
          <w:szCs w:val="32"/>
          <w:lang w:val="en-US" w:eastAsia="zh-CN" w:bidi="ar-SA"/>
        </w:rPr>
        <w:t>作业</w:t>
      </w:r>
      <w:r>
        <w:rPr>
          <w:rFonts w:ascii="仿宋" w:hAnsi="仿宋" w:eastAsia="仿宋" w:cs="仿宋"/>
          <w:b w:val="0"/>
          <w:bCs w:val="0"/>
          <w:snapToGrid w:val="0"/>
          <w:color w:val="auto"/>
          <w:kern w:val="0"/>
          <w:sz w:val="32"/>
          <w:szCs w:val="32"/>
          <w:lang w:val="en-US" w:eastAsia="zh-CN" w:bidi="ar-SA"/>
        </w:rPr>
        <w:t>后补</w:t>
      </w:r>
      <w:r>
        <w:rPr>
          <w:rFonts w:hint="eastAsia" w:ascii="仿宋" w:hAnsi="仿宋" w:eastAsia="仿宋" w:cs="仿宋"/>
          <w:b w:val="0"/>
          <w:bCs w:val="0"/>
          <w:snapToGrid w:val="0"/>
          <w:color w:val="auto"/>
          <w:kern w:val="0"/>
          <w:sz w:val="32"/>
          <w:szCs w:val="32"/>
          <w:lang w:val="en-US" w:eastAsia="zh-CN" w:bidi="ar-SA"/>
        </w:rPr>
        <w:t>贴、</w:t>
      </w:r>
      <w:r>
        <w:rPr>
          <w:rFonts w:hint="eastAsia" w:ascii="仿宋" w:hAnsi="仿宋" w:eastAsia="仿宋" w:cs="仿宋"/>
          <w:b w:val="0"/>
          <w:bCs w:val="0"/>
          <w:snapToGrid w:val="0"/>
          <w:color w:val="000000"/>
          <w:kern w:val="0"/>
          <w:sz w:val="32"/>
          <w:szCs w:val="32"/>
          <w:lang w:val="en-US" w:eastAsia="zh-CN" w:bidi="ar-SA"/>
        </w:rPr>
        <w:t>主体自愿申报、乡镇推荐的</w:t>
      </w:r>
      <w:r>
        <w:rPr>
          <w:rFonts w:ascii="仿宋" w:hAnsi="仿宋" w:eastAsia="仿宋" w:cs="仿宋"/>
          <w:b w:val="0"/>
          <w:bCs w:val="0"/>
          <w:snapToGrid w:val="0"/>
          <w:color w:val="000000"/>
          <w:kern w:val="0"/>
          <w:sz w:val="32"/>
          <w:szCs w:val="32"/>
          <w:lang w:val="en-US" w:eastAsia="zh-CN" w:bidi="ar-SA"/>
        </w:rPr>
        <w:t>方式</w:t>
      </w:r>
      <w:r>
        <w:rPr>
          <w:rFonts w:hint="eastAsia" w:ascii="仿宋" w:hAnsi="仿宋" w:eastAsia="仿宋" w:cs="仿宋"/>
          <w:b w:val="0"/>
          <w:bCs w:val="0"/>
          <w:snapToGrid w:val="0"/>
          <w:color w:val="000000"/>
          <w:kern w:val="0"/>
          <w:sz w:val="32"/>
          <w:szCs w:val="32"/>
          <w:lang w:val="en-US" w:eastAsia="zh-CN" w:bidi="ar-SA"/>
        </w:rPr>
        <w:t>实施秸秆深翻埋茬作业，每亩补贴45元</w:t>
      </w:r>
      <w:r>
        <w:rPr>
          <w:rFonts w:ascii="仿宋" w:hAnsi="仿宋" w:eastAsia="仿宋" w:cs="仿宋"/>
          <w:b w:val="0"/>
          <w:bCs w:val="0"/>
          <w:snapToGrid w:val="0"/>
          <w:color w:val="000000"/>
          <w:kern w:val="0"/>
          <w:sz w:val="32"/>
          <w:szCs w:val="32"/>
          <w:lang w:val="en-US" w:eastAsia="zh-CN" w:bidi="ar-SA"/>
        </w:rPr>
        <w:t>，必须装有北斗定位装置，以北斗终端数据为准</w:t>
      </w:r>
      <w:r>
        <w:rPr>
          <w:rFonts w:hint="eastAsia" w:ascii="仿宋" w:hAnsi="仿宋" w:eastAsia="仿宋" w:cs="仿宋"/>
          <w:b w:val="0"/>
          <w:bCs w:val="0"/>
          <w:snapToGrid w:val="0"/>
          <w:color w:val="000000"/>
          <w:kern w:val="0"/>
          <w:sz w:val="32"/>
          <w:szCs w:val="32"/>
          <w:lang w:val="en-US" w:eastAsia="zh-CN" w:bidi="ar-SA"/>
        </w:rPr>
        <w:t>。</w:t>
      </w:r>
    </w:p>
    <w:p w14:paraId="4BBDA8F9">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2</w:t>
      </w:r>
      <w:r>
        <w:rPr>
          <w:rFonts w:ascii="仿宋" w:hAnsi="仿宋" w:eastAsia="仿宋" w:cs="仿宋"/>
          <w:b w:val="0"/>
          <w:bCs w:val="0"/>
          <w:snapToGrid w:val="0"/>
          <w:color w:val="000000"/>
          <w:kern w:val="0"/>
          <w:sz w:val="32"/>
          <w:szCs w:val="32"/>
          <w:lang w:val="en-US" w:eastAsia="zh-CN" w:bidi="ar-SA"/>
        </w:rPr>
        <w:t>.秸秆离田</w:t>
      </w:r>
      <w:r>
        <w:rPr>
          <w:rFonts w:hint="eastAsia" w:ascii="仿宋" w:hAnsi="仿宋" w:eastAsia="仿宋" w:cs="仿宋"/>
          <w:b w:val="0"/>
          <w:bCs w:val="0"/>
          <w:snapToGrid w:val="0"/>
          <w:color w:val="000000"/>
          <w:kern w:val="0"/>
          <w:sz w:val="32"/>
          <w:szCs w:val="32"/>
          <w:lang w:val="en-US" w:eastAsia="zh-CN" w:bidi="ar-SA"/>
        </w:rPr>
        <w:t>及产业化利用建设</w:t>
      </w:r>
      <w:r>
        <w:rPr>
          <w:rFonts w:ascii="仿宋" w:hAnsi="仿宋" w:eastAsia="仿宋" w:cs="仿宋"/>
          <w:b w:val="0"/>
          <w:bCs w:val="0"/>
          <w:snapToGrid w:val="0"/>
          <w:color w:val="000000"/>
          <w:kern w:val="0"/>
          <w:sz w:val="32"/>
          <w:szCs w:val="32"/>
          <w:lang w:val="en-US" w:eastAsia="zh-CN" w:bidi="ar-SA"/>
        </w:rPr>
        <w:t>。</w:t>
      </w:r>
      <w:r>
        <w:rPr>
          <w:rFonts w:hint="eastAsia" w:ascii="仿宋" w:hAnsi="仿宋" w:eastAsia="仿宋" w:cs="仿宋"/>
          <w:b w:val="0"/>
          <w:bCs w:val="0"/>
          <w:snapToGrid w:val="0"/>
          <w:color w:val="000000"/>
          <w:kern w:val="0"/>
          <w:sz w:val="32"/>
          <w:szCs w:val="32"/>
          <w:lang w:val="en-US" w:eastAsia="zh-CN" w:bidi="ar-SA"/>
        </w:rPr>
        <w:t>资金使用方向包括秸秆打捆离田补贴和产业化利用建设补贴。</w:t>
      </w:r>
    </w:p>
    <w:p w14:paraId="76533682">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秸秆打捆离田</w:t>
      </w:r>
      <w:r>
        <w:rPr>
          <w:rFonts w:hint="eastAsia" w:ascii="仿宋" w:hAnsi="仿宋" w:eastAsia="仿宋" w:cs="仿宋"/>
          <w:b w:val="0"/>
          <w:bCs w:val="0"/>
          <w:snapToGrid w:val="0"/>
          <w:color w:val="000000"/>
          <w:kern w:val="0"/>
          <w:sz w:val="32"/>
          <w:szCs w:val="32"/>
          <w:lang w:val="en-US" w:eastAsia="zh-CN" w:bidi="ar-SA"/>
        </w:rPr>
        <w:t>补贴：</w:t>
      </w:r>
      <w:r>
        <w:rPr>
          <w:rFonts w:ascii="仿宋" w:hAnsi="仿宋" w:eastAsia="仿宋" w:cs="仿宋"/>
          <w:b w:val="0"/>
          <w:bCs w:val="0"/>
          <w:snapToGrid w:val="0"/>
          <w:color w:val="000000"/>
          <w:kern w:val="0"/>
          <w:sz w:val="32"/>
          <w:szCs w:val="32"/>
          <w:lang w:val="en-US" w:eastAsia="zh-CN" w:bidi="ar-SA"/>
        </w:rPr>
        <w:t>为扩大秸秆打捆离田产业化高效利用，针对收储</w:t>
      </w:r>
      <w:r>
        <w:rPr>
          <w:rFonts w:hint="eastAsia" w:ascii="仿宋" w:hAnsi="仿宋" w:eastAsia="仿宋" w:cs="仿宋"/>
          <w:b w:val="0"/>
          <w:bCs w:val="0"/>
          <w:snapToGrid w:val="0"/>
          <w:color w:val="000000"/>
          <w:kern w:val="0"/>
          <w:sz w:val="32"/>
          <w:szCs w:val="32"/>
          <w:lang w:val="en-US" w:eastAsia="zh-CN" w:bidi="ar-SA"/>
        </w:rPr>
        <w:t>本县农作物秸秆</w:t>
      </w:r>
      <w:r>
        <w:rPr>
          <w:rFonts w:ascii="仿宋" w:hAnsi="仿宋" w:eastAsia="仿宋" w:cs="仿宋"/>
          <w:b w:val="0"/>
          <w:bCs w:val="0"/>
          <w:snapToGrid w:val="0"/>
          <w:color w:val="000000"/>
          <w:kern w:val="0"/>
          <w:sz w:val="32"/>
          <w:szCs w:val="32"/>
          <w:lang w:val="en-US" w:eastAsia="zh-CN" w:bidi="ar-SA"/>
        </w:rPr>
        <w:t>达到</w:t>
      </w:r>
      <w:r>
        <w:rPr>
          <w:rFonts w:hint="eastAsia" w:ascii="仿宋" w:hAnsi="仿宋" w:eastAsia="仿宋" w:cs="仿宋"/>
          <w:b w:val="0"/>
          <w:bCs w:val="0"/>
          <w:snapToGrid w:val="0"/>
          <w:color w:val="000000"/>
          <w:kern w:val="0"/>
          <w:sz w:val="32"/>
          <w:szCs w:val="32"/>
          <w:lang w:val="en-US" w:eastAsia="zh-CN" w:bidi="ar-SA"/>
        </w:rPr>
        <w:t>5</w:t>
      </w:r>
      <w:r>
        <w:rPr>
          <w:rFonts w:ascii="仿宋" w:hAnsi="仿宋" w:eastAsia="仿宋" w:cs="仿宋"/>
          <w:b w:val="0"/>
          <w:bCs w:val="0"/>
          <w:snapToGrid w:val="0"/>
          <w:color w:val="000000"/>
          <w:kern w:val="0"/>
          <w:sz w:val="32"/>
          <w:szCs w:val="32"/>
          <w:lang w:val="en-US" w:eastAsia="zh-CN" w:bidi="ar-SA"/>
        </w:rPr>
        <w:t>00吨</w:t>
      </w:r>
      <w:r>
        <w:rPr>
          <w:rFonts w:hint="eastAsia" w:ascii="仿宋" w:hAnsi="仿宋" w:eastAsia="仿宋" w:cs="仿宋"/>
          <w:b w:val="0"/>
          <w:bCs w:val="0"/>
          <w:snapToGrid w:val="0"/>
          <w:color w:val="000000"/>
          <w:kern w:val="0"/>
          <w:sz w:val="32"/>
          <w:szCs w:val="32"/>
          <w:lang w:val="en-US" w:eastAsia="zh-CN" w:bidi="ar-SA"/>
        </w:rPr>
        <w:t>以上且用于饲料化利用</w:t>
      </w:r>
      <w:r>
        <w:rPr>
          <w:rFonts w:ascii="仿宋" w:hAnsi="仿宋" w:eastAsia="仿宋" w:cs="仿宋"/>
          <w:b w:val="0"/>
          <w:bCs w:val="0"/>
          <w:snapToGrid w:val="0"/>
          <w:color w:val="000000"/>
          <w:kern w:val="0"/>
          <w:sz w:val="32"/>
          <w:szCs w:val="32"/>
          <w:lang w:val="en-US" w:eastAsia="zh-CN" w:bidi="ar-SA"/>
        </w:rPr>
        <w:t>的企业或合作社进行补贴，</w:t>
      </w:r>
      <w:r>
        <w:rPr>
          <w:rFonts w:hint="eastAsia" w:ascii="仿宋" w:hAnsi="仿宋" w:eastAsia="仿宋" w:cs="仿宋"/>
          <w:b w:val="0"/>
          <w:bCs w:val="0"/>
          <w:snapToGrid w:val="0"/>
          <w:color w:val="000000"/>
          <w:kern w:val="0"/>
          <w:sz w:val="32"/>
          <w:szCs w:val="32"/>
          <w:lang w:val="en-US" w:eastAsia="zh-CN" w:bidi="ar-SA"/>
        </w:rPr>
        <w:t>按100元/</w:t>
      </w:r>
      <w:r>
        <w:rPr>
          <w:rFonts w:ascii="仿宋" w:hAnsi="仿宋" w:eastAsia="仿宋" w:cs="仿宋"/>
          <w:b w:val="0"/>
          <w:bCs w:val="0"/>
          <w:snapToGrid w:val="0"/>
          <w:color w:val="000000"/>
          <w:kern w:val="0"/>
          <w:sz w:val="32"/>
          <w:szCs w:val="32"/>
          <w:lang w:val="en-US" w:eastAsia="zh-CN" w:bidi="ar-SA"/>
        </w:rPr>
        <w:t>吨补贴标准，补贴数量</w:t>
      </w:r>
      <w:r>
        <w:rPr>
          <w:rFonts w:hint="eastAsia" w:ascii="仿宋" w:hAnsi="仿宋" w:eastAsia="仿宋" w:cs="仿宋"/>
          <w:b w:val="0"/>
          <w:bCs w:val="0"/>
          <w:snapToGrid w:val="0"/>
          <w:color w:val="000000"/>
          <w:kern w:val="0"/>
          <w:sz w:val="32"/>
          <w:szCs w:val="32"/>
          <w:lang w:val="en-US" w:eastAsia="zh-CN" w:bidi="ar-SA"/>
        </w:rPr>
        <w:t>5000</w:t>
      </w:r>
      <w:r>
        <w:rPr>
          <w:rFonts w:ascii="仿宋" w:hAnsi="仿宋" w:eastAsia="仿宋" w:cs="仿宋"/>
          <w:b w:val="0"/>
          <w:bCs w:val="0"/>
          <w:snapToGrid w:val="0"/>
          <w:color w:val="000000"/>
          <w:kern w:val="0"/>
          <w:sz w:val="32"/>
          <w:szCs w:val="32"/>
          <w:lang w:val="en-US" w:eastAsia="zh-CN" w:bidi="ar-SA"/>
        </w:rPr>
        <w:t>吨。此项拟奖补资金50万元。</w:t>
      </w:r>
    </w:p>
    <w:p w14:paraId="3CE07337">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产业化利用建设补贴：支持秸秆饲料化利用主体开展标准化厂房建设和秸秆收储、运输及加工设备购置</w:t>
      </w:r>
      <w:r>
        <w:rPr>
          <w:rFonts w:ascii="仿宋" w:hAnsi="仿宋" w:eastAsia="仿宋" w:cs="仿宋"/>
          <w:b w:val="0"/>
          <w:bCs w:val="0"/>
          <w:snapToGrid w:val="0"/>
          <w:color w:val="000000"/>
          <w:kern w:val="0"/>
          <w:sz w:val="32"/>
          <w:szCs w:val="32"/>
          <w:lang w:val="en-US" w:eastAsia="zh-CN" w:bidi="ar-SA"/>
        </w:rPr>
        <w:t>，共计45万元</w:t>
      </w:r>
      <w:r>
        <w:rPr>
          <w:rFonts w:hint="eastAsia" w:ascii="仿宋" w:hAnsi="仿宋" w:eastAsia="仿宋" w:cs="仿宋"/>
          <w:b w:val="0"/>
          <w:bCs w:val="0"/>
          <w:snapToGrid w:val="0"/>
          <w:color w:val="000000"/>
          <w:kern w:val="0"/>
          <w:sz w:val="32"/>
          <w:szCs w:val="32"/>
          <w:lang w:val="en-US" w:eastAsia="zh-CN" w:bidi="ar-SA"/>
        </w:rPr>
        <w:t>。标准化厂房建设按照</w:t>
      </w:r>
      <w:r>
        <w:rPr>
          <w:rFonts w:ascii="仿宋" w:hAnsi="仿宋" w:eastAsia="仿宋" w:cs="仿宋"/>
          <w:b w:val="0"/>
          <w:bCs w:val="0"/>
          <w:snapToGrid w:val="0"/>
          <w:color w:val="000000"/>
          <w:kern w:val="0"/>
          <w:sz w:val="32"/>
          <w:szCs w:val="32"/>
          <w:lang w:val="en-US" w:eastAsia="zh-CN" w:bidi="ar-SA"/>
        </w:rPr>
        <w:t>总投资额的30％进行奖补</w:t>
      </w:r>
      <w:r>
        <w:rPr>
          <w:rFonts w:hint="eastAsia" w:ascii="仿宋" w:hAnsi="仿宋" w:eastAsia="仿宋" w:cs="仿宋"/>
          <w:b w:val="0"/>
          <w:bCs w:val="0"/>
          <w:snapToGrid w:val="0"/>
          <w:color w:val="000000"/>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单个项目奖补不超过1</w:t>
      </w:r>
      <w:r>
        <w:rPr>
          <w:rFonts w:hint="eastAsia" w:ascii="仿宋" w:hAnsi="仿宋" w:eastAsia="仿宋" w:cs="仿宋"/>
          <w:b w:val="0"/>
          <w:bCs w:val="0"/>
          <w:snapToGrid w:val="0"/>
          <w:color w:val="000000"/>
          <w:kern w:val="0"/>
          <w:sz w:val="32"/>
          <w:szCs w:val="32"/>
          <w:lang w:val="en-US" w:eastAsia="zh-CN" w:bidi="ar-SA"/>
        </w:rPr>
        <w:t>5</w:t>
      </w:r>
      <w:r>
        <w:rPr>
          <w:rFonts w:ascii="仿宋" w:hAnsi="仿宋" w:eastAsia="仿宋" w:cs="仿宋"/>
          <w:b w:val="0"/>
          <w:bCs w:val="0"/>
          <w:snapToGrid w:val="0"/>
          <w:color w:val="000000"/>
          <w:kern w:val="0"/>
          <w:sz w:val="32"/>
          <w:szCs w:val="32"/>
          <w:lang w:val="en-US" w:eastAsia="zh-CN" w:bidi="ar-SA"/>
        </w:rPr>
        <w:t>万元。</w:t>
      </w:r>
      <w:r>
        <w:rPr>
          <w:rFonts w:hint="eastAsia" w:ascii="仿宋" w:hAnsi="仿宋" w:eastAsia="仿宋" w:cs="仿宋"/>
          <w:b w:val="0"/>
          <w:bCs w:val="0"/>
          <w:snapToGrid w:val="0"/>
          <w:color w:val="000000"/>
          <w:kern w:val="0"/>
          <w:sz w:val="32"/>
          <w:szCs w:val="32"/>
          <w:lang w:val="en-US" w:eastAsia="zh-CN" w:bidi="ar-SA"/>
        </w:rPr>
        <w:t>秸秆收储、运输及加工设备购置补贴按照</w:t>
      </w:r>
      <w:r>
        <w:rPr>
          <w:rFonts w:ascii="仿宋" w:hAnsi="仿宋" w:eastAsia="仿宋" w:cs="仿宋"/>
          <w:b w:val="0"/>
          <w:bCs w:val="0"/>
          <w:snapToGrid w:val="0"/>
          <w:color w:val="000000"/>
          <w:kern w:val="0"/>
          <w:sz w:val="32"/>
          <w:szCs w:val="32"/>
          <w:lang w:val="en-US" w:eastAsia="zh-CN" w:bidi="ar-SA"/>
        </w:rPr>
        <w:t>农业机械总价的</w:t>
      </w:r>
      <w:r>
        <w:rPr>
          <w:rFonts w:hint="eastAsia" w:ascii="仿宋" w:hAnsi="仿宋" w:eastAsia="仿宋" w:cs="仿宋"/>
          <w:b w:val="0"/>
          <w:bCs w:val="0"/>
          <w:snapToGrid w:val="0"/>
          <w:color w:val="000000"/>
          <w:kern w:val="0"/>
          <w:sz w:val="32"/>
          <w:szCs w:val="32"/>
          <w:lang w:val="en-US" w:eastAsia="zh-CN" w:bidi="ar-SA"/>
        </w:rPr>
        <w:t>30</w:t>
      </w:r>
      <w:r>
        <w:rPr>
          <w:rFonts w:ascii="仿宋" w:hAnsi="仿宋" w:eastAsia="仿宋" w:cs="仿宋"/>
          <w:b w:val="0"/>
          <w:bCs w:val="0"/>
          <w:snapToGrid w:val="0"/>
          <w:color w:val="000000"/>
          <w:kern w:val="0"/>
          <w:sz w:val="32"/>
          <w:szCs w:val="32"/>
          <w:lang w:val="en-US" w:eastAsia="zh-CN" w:bidi="ar-SA"/>
        </w:rPr>
        <w:t>％进行奖补</w:t>
      </w:r>
      <w:r>
        <w:rPr>
          <w:rFonts w:hint="eastAsia" w:ascii="仿宋" w:hAnsi="仿宋" w:eastAsia="仿宋" w:cs="仿宋"/>
          <w:b w:val="0"/>
          <w:bCs w:val="0"/>
          <w:snapToGrid w:val="0"/>
          <w:color w:val="000000"/>
          <w:kern w:val="0"/>
          <w:sz w:val="32"/>
          <w:szCs w:val="32"/>
          <w:lang w:val="en-US" w:eastAsia="zh-CN" w:bidi="ar-SA"/>
        </w:rPr>
        <w:t>（不包括中央农机购置补贴）。改扩建补贴标准同上</w:t>
      </w:r>
      <w:r>
        <w:rPr>
          <w:rFonts w:ascii="仿宋" w:hAnsi="仿宋" w:eastAsia="仿宋" w:cs="仿宋"/>
          <w:b w:val="0"/>
          <w:bCs w:val="0"/>
          <w:snapToGrid w:val="0"/>
          <w:color w:val="000000"/>
          <w:kern w:val="0"/>
          <w:sz w:val="32"/>
          <w:szCs w:val="32"/>
          <w:lang w:val="en-US" w:eastAsia="zh-CN" w:bidi="ar-SA"/>
        </w:rPr>
        <w:t>，全县本年度支持个数不超过4个</w:t>
      </w:r>
      <w:r>
        <w:rPr>
          <w:rFonts w:hint="eastAsia" w:ascii="仿宋" w:hAnsi="仿宋" w:eastAsia="仿宋" w:cs="仿宋"/>
          <w:b w:val="0"/>
          <w:bCs w:val="0"/>
          <w:snapToGrid w:val="0"/>
          <w:color w:val="000000"/>
          <w:kern w:val="0"/>
          <w:sz w:val="32"/>
          <w:szCs w:val="32"/>
          <w:lang w:val="en-US" w:eastAsia="zh-CN" w:bidi="ar-SA"/>
        </w:rPr>
        <w:t>。</w:t>
      </w:r>
    </w:p>
    <w:p w14:paraId="538E29D9">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3</w:t>
      </w:r>
      <w:r>
        <w:rPr>
          <w:rFonts w:ascii="仿宋" w:hAnsi="仿宋" w:eastAsia="仿宋" w:cs="仿宋"/>
          <w:b w:val="0"/>
          <w:bCs w:val="0"/>
          <w:snapToGrid w:val="0"/>
          <w:color w:val="000000"/>
          <w:kern w:val="0"/>
          <w:sz w:val="32"/>
          <w:szCs w:val="32"/>
          <w:lang w:val="en-US" w:eastAsia="zh-CN" w:bidi="ar-SA"/>
        </w:rPr>
        <w:t>.秸秆标准化收储</w:t>
      </w:r>
      <w:r>
        <w:rPr>
          <w:rFonts w:hint="eastAsia" w:ascii="仿宋" w:hAnsi="仿宋" w:eastAsia="仿宋" w:cs="仿宋"/>
          <w:b w:val="0"/>
          <w:bCs w:val="0"/>
          <w:snapToGrid w:val="0"/>
          <w:color w:val="000000"/>
          <w:kern w:val="0"/>
          <w:sz w:val="32"/>
          <w:szCs w:val="32"/>
          <w:lang w:val="en-US" w:eastAsia="zh-CN" w:bidi="ar-SA"/>
        </w:rPr>
        <w:t>网点</w:t>
      </w:r>
      <w:r>
        <w:rPr>
          <w:rFonts w:ascii="仿宋" w:hAnsi="仿宋" w:eastAsia="仿宋" w:cs="仿宋"/>
          <w:b w:val="0"/>
          <w:bCs w:val="0"/>
          <w:snapToGrid w:val="0"/>
          <w:color w:val="000000"/>
          <w:kern w:val="0"/>
          <w:sz w:val="32"/>
          <w:szCs w:val="32"/>
          <w:lang w:val="en-US" w:eastAsia="zh-CN" w:bidi="ar-SA"/>
        </w:rPr>
        <w:t>建设。采取先建后补方式，支持30万元对新建的标准化秸秆收储点进行奖补，奖补资金不超过项目总投资额的30％进行奖补，单个项目支持总数不超过</w:t>
      </w:r>
      <w:r>
        <w:rPr>
          <w:rFonts w:hint="eastAsia" w:ascii="仿宋" w:hAnsi="仿宋" w:eastAsia="仿宋" w:cs="仿宋"/>
          <w:b w:val="0"/>
          <w:bCs w:val="0"/>
          <w:snapToGrid w:val="0"/>
          <w:color w:val="000000"/>
          <w:kern w:val="0"/>
          <w:sz w:val="32"/>
          <w:szCs w:val="32"/>
          <w:lang w:val="en-US" w:eastAsia="zh-CN" w:bidi="ar-SA"/>
        </w:rPr>
        <w:t>18</w:t>
      </w:r>
      <w:r>
        <w:rPr>
          <w:rFonts w:ascii="仿宋" w:hAnsi="仿宋" w:eastAsia="仿宋" w:cs="仿宋"/>
          <w:b w:val="0"/>
          <w:bCs w:val="0"/>
          <w:snapToGrid w:val="0"/>
          <w:color w:val="000000"/>
          <w:kern w:val="0"/>
          <w:sz w:val="32"/>
          <w:szCs w:val="32"/>
          <w:lang w:val="en-US" w:eastAsia="zh-CN" w:bidi="ar-SA"/>
        </w:rPr>
        <w:t>万元。</w:t>
      </w:r>
    </w:p>
    <w:p w14:paraId="0DCC481B">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4</w:t>
      </w:r>
      <w:r>
        <w:rPr>
          <w:rFonts w:ascii="仿宋" w:hAnsi="仿宋" w:eastAsia="仿宋" w:cs="仿宋"/>
          <w:b w:val="0"/>
          <w:bCs w:val="0"/>
          <w:snapToGrid w:val="0"/>
          <w:color w:val="000000"/>
          <w:kern w:val="0"/>
          <w:sz w:val="32"/>
          <w:szCs w:val="32"/>
          <w:lang w:val="en-US" w:eastAsia="zh-CN" w:bidi="ar-SA"/>
        </w:rPr>
        <w:t>.秸秆还田机具购置。</w:t>
      </w:r>
    </w:p>
    <w:p w14:paraId="59FE3F04">
      <w:pPr>
        <w:keepNext w:val="0"/>
        <w:keepLines w:val="0"/>
        <w:pageBreakBefore w:val="0"/>
        <w:widowControl/>
        <w:kinsoku w:val="0"/>
        <w:wordWrap/>
        <w:overflowPunct/>
        <w:topLinePunct w:val="0"/>
        <w:autoSpaceDE w:val="0"/>
        <w:autoSpaceDN w:val="0"/>
        <w:adjustRightInd w:val="0"/>
        <w:snapToGrid w:val="0"/>
        <w:spacing w:after="0" w:line="580" w:lineRule="exact"/>
        <w:ind w:firstLine="640" w:firstLineChars="200"/>
        <w:jc w:val="left"/>
        <w:textAlignment w:val="baseline"/>
        <w:rPr>
          <w:rFonts w:hint="eastAsia"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（1）秸秆粉碎还田机、灭茬机：按工作幅宽定额，1.6</w:t>
      </w:r>
      <w:r>
        <w:rPr>
          <w:rFonts w:hint="eastAsia" w:ascii="仿宋" w:hAnsi="仿宋" w:eastAsia="仿宋" w:cs="仿宋"/>
          <w:b w:val="0"/>
          <w:bCs w:val="0"/>
          <w:snapToGrid w:val="0"/>
          <w:color w:val="000000"/>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2.2米机型补贴</w:t>
      </w:r>
      <w:r>
        <w:rPr>
          <w:rFonts w:hint="eastAsia" w:ascii="仿宋" w:hAnsi="仿宋" w:eastAsia="仿宋" w:cs="仿宋"/>
          <w:b w:val="0"/>
          <w:bCs w:val="0"/>
          <w:snapToGrid w:val="0"/>
          <w:color w:val="000000"/>
          <w:kern w:val="0"/>
          <w:sz w:val="32"/>
          <w:szCs w:val="32"/>
          <w:lang w:val="en-US" w:eastAsia="zh-CN" w:bidi="ar-SA"/>
        </w:rPr>
        <w:t>2000</w:t>
      </w:r>
      <w:r>
        <w:rPr>
          <w:rFonts w:ascii="仿宋" w:hAnsi="仿宋" w:eastAsia="仿宋" w:cs="仿宋"/>
          <w:b w:val="0"/>
          <w:bCs w:val="0"/>
          <w:snapToGrid w:val="0"/>
          <w:color w:val="000000"/>
          <w:kern w:val="0"/>
          <w:sz w:val="32"/>
          <w:szCs w:val="32"/>
          <w:lang w:val="en-US" w:eastAsia="zh-CN" w:bidi="ar-SA"/>
        </w:rPr>
        <w:t>元</w:t>
      </w:r>
      <w:r>
        <w:rPr>
          <w:rFonts w:hint="eastAsia" w:ascii="仿宋" w:hAnsi="仿宋" w:eastAsia="仿宋" w:cs="仿宋"/>
          <w:b w:val="0"/>
          <w:bCs w:val="0"/>
          <w:snapToGrid w:val="0"/>
          <w:color w:val="000000"/>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收割机加装粉碎抛撒装置：2000元/台（加装，不含主机）</w:t>
      </w:r>
      <w:r>
        <w:rPr>
          <w:rFonts w:hint="eastAsia" w:ascii="仿宋" w:hAnsi="仿宋" w:eastAsia="仿宋" w:cs="仿宋"/>
          <w:b w:val="0"/>
          <w:bCs w:val="0"/>
          <w:snapToGrid w:val="0"/>
          <w:color w:val="000000"/>
          <w:kern w:val="0"/>
          <w:sz w:val="32"/>
          <w:szCs w:val="32"/>
          <w:lang w:val="en-US" w:eastAsia="zh-CN" w:bidi="ar-SA"/>
        </w:rPr>
        <w:t>。</w:t>
      </w:r>
    </w:p>
    <w:p w14:paraId="5A4EDF9D">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（2）</w:t>
      </w:r>
      <w:r>
        <w:rPr>
          <w:rFonts w:hint="eastAsia" w:ascii="仿宋" w:hAnsi="仿宋" w:eastAsia="仿宋" w:cs="仿宋"/>
          <w:b w:val="0"/>
          <w:bCs w:val="0"/>
          <w:snapToGrid w:val="0"/>
          <w:color w:val="000000"/>
          <w:kern w:val="0"/>
          <w:sz w:val="32"/>
          <w:szCs w:val="32"/>
          <w:lang w:val="en-US" w:eastAsia="zh-CN" w:bidi="ar-SA"/>
        </w:rPr>
        <w:t>水稻</w:t>
      </w:r>
      <w:r>
        <w:rPr>
          <w:rFonts w:ascii="仿宋" w:hAnsi="仿宋" w:eastAsia="仿宋" w:cs="仿宋"/>
          <w:b w:val="0"/>
          <w:bCs w:val="0"/>
          <w:snapToGrid w:val="0"/>
          <w:color w:val="000000"/>
          <w:kern w:val="0"/>
          <w:sz w:val="32"/>
          <w:szCs w:val="32"/>
          <w:lang w:val="en-US" w:eastAsia="zh-CN" w:bidi="ar-SA"/>
        </w:rPr>
        <w:t>收割</w:t>
      </w:r>
      <w:r>
        <w:rPr>
          <w:rFonts w:hint="eastAsia" w:ascii="仿宋" w:hAnsi="仿宋" w:eastAsia="仿宋" w:cs="仿宋"/>
          <w:b w:val="0"/>
          <w:bCs w:val="0"/>
          <w:snapToGrid w:val="0"/>
          <w:color w:val="000000"/>
          <w:kern w:val="0"/>
          <w:sz w:val="32"/>
          <w:szCs w:val="32"/>
          <w:lang w:val="en-US" w:eastAsia="zh-CN" w:bidi="ar-SA"/>
        </w:rPr>
        <w:t>粉碎一体</w:t>
      </w:r>
      <w:r>
        <w:rPr>
          <w:rFonts w:ascii="仿宋" w:hAnsi="仿宋" w:eastAsia="仿宋" w:cs="仿宋"/>
          <w:b w:val="0"/>
          <w:bCs w:val="0"/>
          <w:snapToGrid w:val="0"/>
          <w:color w:val="000000"/>
          <w:kern w:val="0"/>
          <w:sz w:val="32"/>
          <w:szCs w:val="32"/>
          <w:lang w:val="en-US" w:eastAsia="zh-CN" w:bidi="ar-SA"/>
        </w:rPr>
        <w:t>机：</w:t>
      </w:r>
      <w:r>
        <w:rPr>
          <w:rFonts w:hint="eastAsia" w:ascii="仿宋" w:hAnsi="仿宋" w:eastAsia="仿宋" w:cs="仿宋"/>
          <w:b w:val="0"/>
          <w:bCs w:val="0"/>
          <w:snapToGrid w:val="0"/>
          <w:color w:val="auto"/>
          <w:kern w:val="0"/>
          <w:sz w:val="32"/>
          <w:szCs w:val="32"/>
          <w:lang w:val="en-US" w:eastAsia="zh-CN" w:bidi="ar-SA"/>
        </w:rPr>
        <w:t>省、</w:t>
      </w:r>
      <w:r>
        <w:rPr>
          <w:rFonts w:ascii="仿宋" w:hAnsi="仿宋" w:eastAsia="仿宋" w:cs="仿宋"/>
          <w:b w:val="0"/>
          <w:bCs w:val="0"/>
          <w:snapToGrid w:val="0"/>
          <w:color w:val="000000"/>
          <w:kern w:val="0"/>
          <w:sz w:val="32"/>
          <w:szCs w:val="32"/>
          <w:lang w:val="en-US" w:eastAsia="zh-CN" w:bidi="ar-SA"/>
        </w:rPr>
        <w:t>国补之后叠加，合计总补贴不超过购机总价50%，必须加装北斗定位装置，单台最高</w:t>
      </w:r>
      <w:r>
        <w:rPr>
          <w:rFonts w:hint="eastAsia" w:ascii="仿宋" w:hAnsi="仿宋" w:eastAsia="仿宋" w:cs="仿宋"/>
          <w:b w:val="0"/>
          <w:bCs w:val="0"/>
          <w:snapToGrid w:val="0"/>
          <w:color w:val="000000"/>
          <w:kern w:val="0"/>
          <w:sz w:val="32"/>
          <w:szCs w:val="32"/>
          <w:lang w:val="en-US" w:eastAsia="zh-CN" w:bidi="ar-SA"/>
        </w:rPr>
        <w:t>补贴</w:t>
      </w:r>
      <w:r>
        <w:rPr>
          <w:rFonts w:ascii="仿宋" w:hAnsi="仿宋" w:eastAsia="仿宋" w:cs="仿宋"/>
          <w:b w:val="0"/>
          <w:bCs w:val="0"/>
          <w:snapToGrid w:val="0"/>
          <w:color w:val="000000"/>
          <w:kern w:val="0"/>
          <w:sz w:val="32"/>
          <w:szCs w:val="32"/>
          <w:lang w:val="en-US" w:eastAsia="zh-CN" w:bidi="ar-SA"/>
        </w:rPr>
        <w:t>10万元</w:t>
      </w:r>
      <w:r>
        <w:rPr>
          <w:rFonts w:hint="eastAsia" w:ascii="仿宋" w:hAnsi="仿宋" w:eastAsia="仿宋" w:cs="仿宋"/>
          <w:b w:val="0"/>
          <w:bCs w:val="0"/>
          <w:snapToGrid w:val="0"/>
          <w:color w:val="000000"/>
          <w:kern w:val="0"/>
          <w:sz w:val="32"/>
          <w:szCs w:val="32"/>
          <w:lang w:val="en-US" w:eastAsia="zh-CN" w:bidi="ar-SA"/>
        </w:rPr>
        <w:t>。</w:t>
      </w:r>
    </w:p>
    <w:p w14:paraId="389EB7B3">
      <w:pPr>
        <w:keepNext w:val="0"/>
        <w:keepLines w:val="0"/>
        <w:pageBreakBefore w:val="0"/>
        <w:widowControl/>
        <w:kinsoku w:val="0"/>
        <w:wordWrap/>
        <w:overflowPunct/>
        <w:topLinePunct w:val="0"/>
        <w:autoSpaceDE w:val="0"/>
        <w:autoSpaceDN w:val="0"/>
        <w:bidi w:val="0"/>
        <w:adjustRightInd w:val="0"/>
        <w:snapToGrid w:val="0"/>
        <w:spacing w:after="0" w:line="580" w:lineRule="exact"/>
        <w:ind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以上各项奖补金额为初步预算金额，共计</w:t>
      </w:r>
      <w:r>
        <w:rPr>
          <w:rFonts w:hint="eastAsia" w:ascii="仿宋" w:hAnsi="仿宋" w:eastAsia="仿宋" w:cs="仿宋"/>
          <w:b w:val="0"/>
          <w:bCs w:val="0"/>
          <w:snapToGrid w:val="0"/>
          <w:color w:val="000000"/>
          <w:kern w:val="0"/>
          <w:sz w:val="32"/>
          <w:szCs w:val="32"/>
          <w:lang w:val="en-US" w:eastAsia="zh-CN" w:bidi="ar-SA"/>
        </w:rPr>
        <w:t>319</w:t>
      </w:r>
      <w:r>
        <w:rPr>
          <w:rFonts w:ascii="仿宋" w:hAnsi="仿宋" w:eastAsia="仿宋" w:cs="仿宋"/>
          <w:b w:val="0"/>
          <w:bCs w:val="0"/>
          <w:snapToGrid w:val="0"/>
          <w:color w:val="000000"/>
          <w:kern w:val="0"/>
          <w:sz w:val="32"/>
          <w:szCs w:val="32"/>
          <w:lang w:val="en-US" w:eastAsia="zh-CN" w:bidi="ar-SA"/>
        </w:rPr>
        <w:t>万元。为保证项目实施效果，奖补发放以实际验收为准，剩余资金根据实际情况可据实增减奖补数量或调整至方案内其它实施内容进行奖补。</w:t>
      </w:r>
    </w:p>
    <w:p w14:paraId="3C7AFCBD">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auto"/>
          <w:kern w:val="0"/>
          <w:sz w:val="32"/>
          <w:szCs w:val="32"/>
          <w:lang w:val="en-US" w:eastAsia="zh-CN" w:bidi="ar-SA"/>
        </w:rPr>
      </w:pPr>
      <w:r>
        <w:rPr>
          <w:rFonts w:hint="eastAsia" w:ascii="楷体_GB2312" w:hAnsi="楷体_GB2312" w:eastAsia="楷体_GB2312" w:cs="楷体_GB2312"/>
          <w:b/>
          <w:bCs/>
          <w:snapToGrid w:val="0"/>
          <w:color w:val="auto"/>
          <w:kern w:val="0"/>
          <w:sz w:val="32"/>
          <w:szCs w:val="32"/>
          <w:lang w:val="en-US" w:eastAsia="zh-CN" w:bidi="ar-SA"/>
        </w:rPr>
        <w:t>（二）补贴申请及发放程序</w:t>
      </w:r>
    </w:p>
    <w:p w14:paraId="7754E581">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hint="eastAsia" w:ascii="仿宋" w:hAnsi="仿宋" w:eastAsia="仿宋" w:cs="仿宋"/>
          <w:b w:val="0"/>
          <w:bCs w:val="0"/>
          <w:snapToGrid w:val="0"/>
          <w:color w:val="000000"/>
          <w:kern w:val="0"/>
          <w:sz w:val="32"/>
          <w:szCs w:val="32"/>
          <w:lang w:val="en-US" w:eastAsia="zh-CN" w:bidi="ar-SA"/>
        </w:rPr>
        <w:t>主体自愿申报，乡镇推荐，</w:t>
      </w:r>
      <w:r>
        <w:rPr>
          <w:rFonts w:ascii="仿宋" w:hAnsi="仿宋" w:eastAsia="仿宋" w:cs="仿宋"/>
          <w:b w:val="0"/>
          <w:bCs w:val="0"/>
          <w:snapToGrid w:val="0"/>
          <w:color w:val="000000"/>
          <w:kern w:val="0"/>
          <w:sz w:val="32"/>
          <w:szCs w:val="32"/>
          <w:lang w:val="en-US" w:eastAsia="zh-CN" w:bidi="ar-SA"/>
        </w:rPr>
        <w:t>项目完成后，由项目实施主体单位向</w:t>
      </w:r>
      <w:r>
        <w:rPr>
          <w:rFonts w:hint="eastAsia" w:ascii="仿宋" w:hAnsi="仿宋" w:eastAsia="仿宋" w:cs="仿宋"/>
          <w:b w:val="0"/>
          <w:bCs w:val="0"/>
          <w:snapToGrid w:val="0"/>
          <w:color w:val="000000"/>
          <w:kern w:val="0"/>
          <w:sz w:val="32"/>
          <w:szCs w:val="32"/>
          <w:lang w:val="en-US" w:eastAsia="zh-CN" w:bidi="ar-SA"/>
        </w:rPr>
        <w:t>县</w:t>
      </w:r>
      <w:r>
        <w:rPr>
          <w:rFonts w:ascii="仿宋" w:hAnsi="仿宋" w:eastAsia="仿宋" w:cs="仿宋"/>
          <w:b w:val="0"/>
          <w:bCs w:val="0"/>
          <w:snapToGrid w:val="0"/>
          <w:color w:val="000000"/>
          <w:kern w:val="0"/>
          <w:sz w:val="32"/>
          <w:szCs w:val="32"/>
          <w:lang w:val="en-US" w:eastAsia="zh-CN" w:bidi="ar-SA"/>
        </w:rPr>
        <w:t>农业农村局提出验收申请。</w:t>
      </w:r>
      <w:r>
        <w:rPr>
          <w:rFonts w:hint="eastAsia" w:ascii="仿宋" w:hAnsi="仿宋" w:eastAsia="仿宋" w:cs="仿宋"/>
          <w:b w:val="0"/>
          <w:bCs w:val="0"/>
          <w:snapToGrid w:val="0"/>
          <w:color w:val="000000"/>
          <w:kern w:val="0"/>
          <w:sz w:val="32"/>
          <w:szCs w:val="32"/>
          <w:lang w:val="en-US" w:eastAsia="zh-CN" w:bidi="ar-SA"/>
        </w:rPr>
        <w:t>县</w:t>
      </w:r>
      <w:r>
        <w:rPr>
          <w:rFonts w:ascii="仿宋" w:hAnsi="仿宋" w:eastAsia="仿宋" w:cs="仿宋"/>
          <w:b w:val="0"/>
          <w:bCs w:val="0"/>
          <w:snapToGrid w:val="0"/>
          <w:color w:val="000000"/>
          <w:kern w:val="0"/>
          <w:sz w:val="32"/>
          <w:szCs w:val="32"/>
          <w:lang w:val="en-US" w:eastAsia="zh-CN" w:bidi="ar-SA"/>
        </w:rPr>
        <w:t>农业农村局接到申请后，根据工作需要安排验收组对该项目进行验收。验收组通过现场查验、查阅资料、问询等方式对项目进行全面检查和验收</w:t>
      </w:r>
      <w:r>
        <w:rPr>
          <w:rFonts w:hint="eastAsia" w:ascii="仿宋" w:hAnsi="仿宋" w:eastAsia="仿宋" w:cs="仿宋"/>
          <w:b w:val="0"/>
          <w:bCs w:val="0"/>
          <w:snapToGrid w:val="0"/>
          <w:color w:val="auto"/>
          <w:kern w:val="0"/>
          <w:sz w:val="32"/>
          <w:szCs w:val="32"/>
          <w:lang w:val="en-US" w:eastAsia="zh-CN" w:bidi="ar-SA"/>
        </w:rPr>
        <w:t>（作业面积以北斗终端数据为主要依据）</w:t>
      </w:r>
      <w:r>
        <w:rPr>
          <w:rFonts w:ascii="仿宋" w:hAnsi="仿宋" w:eastAsia="仿宋" w:cs="仿宋"/>
          <w:b w:val="0"/>
          <w:bCs w:val="0"/>
          <w:snapToGrid w:val="0"/>
          <w:color w:val="auto"/>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对达不到验收标准的项目不予验收并提出整改意见，对整改后仍达不到验收标准的，取消项目补贴资格。项目验收完成后，结合实施方案项目资金分项额度，确定拟奖补项目及资金，并对项目进行公示，公示无异议后，拨付项目奖补资金。</w:t>
      </w:r>
    </w:p>
    <w:p w14:paraId="16D9C326">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（三）资金管理</w:t>
      </w:r>
    </w:p>
    <w:p w14:paraId="7707F17D">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b/>
          <w:snapToGrid/>
          <w:color w:val="000000"/>
          <w:kern w:val="2"/>
          <w:sz w:val="32"/>
          <w:szCs w:val="32"/>
          <w:lang w:val="en-US" w:eastAsia="zh-CN" w:bidi="ar-SA"/>
        </w:rPr>
        <w:t>1.资金安排原则。</w:t>
      </w:r>
      <w:r>
        <w:rPr>
          <w:rFonts w:hint="eastAsia" w:ascii="仿宋" w:hAnsi="仿宋" w:eastAsia="仿宋" w:cs="仿宋"/>
          <w:snapToGrid w:val="0"/>
          <w:color w:val="000000"/>
          <w:kern w:val="0"/>
          <w:sz w:val="32"/>
          <w:szCs w:val="32"/>
          <w:lang w:val="en-US" w:eastAsia="zh-CN" w:bidi="ar-SA"/>
        </w:rPr>
        <w:t>进一步压实责任，增强项目申报的真实性，提高监管的便利性，有效形成政策合力。</w:t>
      </w:r>
    </w:p>
    <w:p w14:paraId="37CA52BA">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b/>
          <w:snapToGrid/>
          <w:color w:val="000000"/>
          <w:kern w:val="2"/>
          <w:sz w:val="32"/>
          <w:szCs w:val="32"/>
          <w:lang w:val="en-US" w:eastAsia="zh-CN" w:bidi="ar-SA"/>
        </w:rPr>
        <w:t>2.组织实施。</w:t>
      </w:r>
      <w:r>
        <w:rPr>
          <w:rFonts w:hint="eastAsia" w:ascii="仿宋" w:hAnsi="仿宋" w:eastAsia="仿宋" w:cs="仿宋"/>
          <w:snapToGrid w:val="0"/>
          <w:color w:val="000000"/>
          <w:kern w:val="0"/>
          <w:sz w:val="32"/>
          <w:szCs w:val="32"/>
          <w:lang w:val="en-US" w:eastAsia="zh-CN" w:bidi="ar-SA"/>
        </w:rPr>
        <w:t>秸秆奖补资金的安排和使用，根据《2025年沅陵县农作物秸秆综合利用奖补资金使用细则》和本实施方案，按照主体申报、乡镇政府推荐上报、乡镇验收、县级审核的程序实施。积极推行先建后补方式，提高资金预算使用的精准性。</w:t>
      </w:r>
    </w:p>
    <w:p w14:paraId="19FEB912">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b/>
          <w:snapToGrid/>
          <w:color w:val="000000"/>
          <w:kern w:val="2"/>
          <w:sz w:val="32"/>
          <w:szCs w:val="32"/>
          <w:lang w:val="en-US" w:eastAsia="zh-CN" w:bidi="ar-SA"/>
        </w:rPr>
        <w:t>3.绩效评价。</w:t>
      </w:r>
      <w:r>
        <w:rPr>
          <w:rFonts w:hint="eastAsia" w:ascii="仿宋" w:hAnsi="仿宋" w:eastAsia="仿宋" w:cs="仿宋"/>
          <w:snapToGrid w:val="0"/>
          <w:color w:val="000000"/>
          <w:kern w:val="0"/>
          <w:sz w:val="32"/>
          <w:szCs w:val="32"/>
          <w:lang w:val="en-US" w:eastAsia="zh-CN" w:bidi="ar-SA"/>
        </w:rPr>
        <w:t>县农业农村局根据上级部门安排，对秸秆奖补资金项目实施和使用情况进行绩效评价。</w:t>
      </w:r>
    </w:p>
    <w:p w14:paraId="0859240F">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仿宋" w:hAnsi="仿宋" w:eastAsia="仿宋" w:cs="仿宋"/>
          <w:b/>
          <w:bCs/>
          <w:snapToGrid w:val="0"/>
          <w:color w:val="000000"/>
          <w:kern w:val="0"/>
          <w:sz w:val="32"/>
          <w:szCs w:val="32"/>
          <w:lang w:val="en-US" w:eastAsia="zh-CN" w:bidi="ar-SA"/>
        </w:rPr>
      </w:pPr>
      <w:r>
        <w:rPr>
          <w:rFonts w:hint="eastAsia" w:ascii="仿宋" w:hAnsi="仿宋" w:eastAsia="仿宋" w:cs="仿宋"/>
          <w:b/>
          <w:snapToGrid/>
          <w:color w:val="000000"/>
          <w:kern w:val="2"/>
          <w:sz w:val="32"/>
          <w:szCs w:val="32"/>
          <w:lang w:val="en-US" w:eastAsia="zh-CN" w:bidi="ar-SA"/>
        </w:rPr>
        <w:t>4.报送制度。</w:t>
      </w:r>
      <w:r>
        <w:rPr>
          <w:rFonts w:hint="eastAsia" w:ascii="仿宋" w:hAnsi="仿宋" w:eastAsia="仿宋" w:cs="仿宋"/>
          <w:snapToGrid w:val="0"/>
          <w:color w:val="000000"/>
          <w:kern w:val="0"/>
          <w:sz w:val="32"/>
          <w:szCs w:val="32"/>
          <w:lang w:val="en-US" w:eastAsia="zh-CN" w:bidi="ar-SA"/>
        </w:rPr>
        <w:t>县农业农村局及时将秸秆综合利用绩效评价报告、奖补项目汇总表报市农业农村局。</w:t>
      </w:r>
    </w:p>
    <w:p w14:paraId="3559227C">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黑体" w:hAnsi="黑体" w:eastAsia="黑体" w:cs="黑体"/>
          <w:b/>
          <w:bCs/>
          <w:snapToGrid w:val="0"/>
          <w:color w:val="000000"/>
          <w:kern w:val="0"/>
          <w:sz w:val="32"/>
          <w:szCs w:val="32"/>
          <w:lang w:val="en-US" w:eastAsia="zh-CN" w:bidi="ar-SA"/>
        </w:rPr>
      </w:pPr>
      <w:r>
        <w:rPr>
          <w:rFonts w:hint="eastAsia" w:ascii="黑体" w:hAnsi="黑体" w:eastAsia="黑体" w:cs="黑体"/>
          <w:b/>
          <w:bCs/>
          <w:snapToGrid w:val="0"/>
          <w:color w:val="000000"/>
          <w:kern w:val="0"/>
          <w:sz w:val="32"/>
          <w:szCs w:val="32"/>
          <w:lang w:val="en-US" w:eastAsia="zh-CN" w:bidi="ar-SA"/>
        </w:rPr>
        <w:t>四、投资估算与资金筹措</w:t>
      </w:r>
    </w:p>
    <w:p w14:paraId="37BF9FB5">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_GB2312" w:hAnsi="楷体_GB2312" w:eastAsia="楷体_GB2312" w:cs="楷体_GB2312"/>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（一）投资估算</w:t>
      </w:r>
    </w:p>
    <w:p w14:paraId="1DFB7F70">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本项目</w:t>
      </w:r>
      <w:r>
        <w:rPr>
          <w:rFonts w:hint="eastAsia" w:ascii="仿宋" w:hAnsi="仿宋" w:eastAsia="仿宋" w:cs="仿宋"/>
          <w:b w:val="0"/>
          <w:bCs w:val="0"/>
          <w:snapToGrid w:val="0"/>
          <w:color w:val="000000"/>
          <w:kern w:val="0"/>
          <w:sz w:val="32"/>
          <w:szCs w:val="32"/>
          <w:lang w:val="en-US" w:eastAsia="zh-CN" w:bidi="ar-SA"/>
        </w:rPr>
        <w:t>共投资319</w:t>
      </w:r>
      <w:r>
        <w:rPr>
          <w:rFonts w:ascii="仿宋" w:hAnsi="仿宋" w:eastAsia="仿宋" w:cs="仿宋"/>
          <w:b w:val="0"/>
          <w:bCs w:val="0"/>
          <w:snapToGrid w:val="0"/>
          <w:color w:val="000000"/>
          <w:kern w:val="0"/>
          <w:sz w:val="32"/>
          <w:szCs w:val="32"/>
          <w:lang w:val="en-US" w:eastAsia="zh-CN" w:bidi="ar-SA"/>
        </w:rPr>
        <w:t>万元，</w:t>
      </w:r>
      <w:r>
        <w:rPr>
          <w:rFonts w:hint="eastAsia" w:ascii="仿宋" w:hAnsi="仿宋" w:eastAsia="仿宋" w:cs="仿宋"/>
          <w:b w:val="0"/>
          <w:bCs w:val="0"/>
          <w:snapToGrid w:val="0"/>
          <w:color w:val="000000"/>
          <w:kern w:val="0"/>
          <w:sz w:val="32"/>
          <w:szCs w:val="32"/>
          <w:lang w:val="en-US" w:eastAsia="zh-CN" w:bidi="ar-SA"/>
        </w:rPr>
        <w:t>其中秸秆深翻埋茬建设投资93万元，占总投资的29.1%。</w:t>
      </w:r>
      <w:r>
        <w:rPr>
          <w:rFonts w:ascii="仿宋" w:hAnsi="仿宋" w:eastAsia="仿宋" w:cs="仿宋"/>
          <w:b w:val="0"/>
          <w:bCs w:val="0"/>
          <w:snapToGrid w:val="0"/>
          <w:color w:val="000000"/>
          <w:kern w:val="0"/>
          <w:sz w:val="32"/>
          <w:szCs w:val="32"/>
          <w:lang w:val="en-US" w:eastAsia="zh-CN" w:bidi="ar-SA"/>
        </w:rPr>
        <w:t>秸秆离田</w:t>
      </w:r>
      <w:r>
        <w:rPr>
          <w:rFonts w:hint="eastAsia" w:ascii="仿宋" w:hAnsi="仿宋" w:eastAsia="仿宋" w:cs="仿宋"/>
          <w:b w:val="0"/>
          <w:bCs w:val="0"/>
          <w:snapToGrid w:val="0"/>
          <w:color w:val="000000"/>
          <w:kern w:val="0"/>
          <w:sz w:val="32"/>
          <w:szCs w:val="32"/>
          <w:lang w:val="en-US" w:eastAsia="zh-CN" w:bidi="ar-SA"/>
        </w:rPr>
        <w:t>及产业化利用建设投资145万元（其中离田补贴50万元，产业化利用建设补贴95万元），占总投资的45.5%。</w:t>
      </w:r>
      <w:r>
        <w:rPr>
          <w:rFonts w:ascii="仿宋" w:hAnsi="仿宋" w:eastAsia="仿宋" w:cs="仿宋"/>
          <w:b w:val="0"/>
          <w:bCs w:val="0"/>
          <w:snapToGrid w:val="0"/>
          <w:color w:val="000000"/>
          <w:kern w:val="0"/>
          <w:sz w:val="32"/>
          <w:szCs w:val="32"/>
          <w:lang w:val="en-US" w:eastAsia="zh-CN" w:bidi="ar-SA"/>
        </w:rPr>
        <w:t>秸秆标准化收储</w:t>
      </w:r>
      <w:r>
        <w:rPr>
          <w:rFonts w:hint="eastAsia" w:ascii="仿宋" w:hAnsi="仿宋" w:eastAsia="仿宋" w:cs="仿宋"/>
          <w:b w:val="0"/>
          <w:bCs w:val="0"/>
          <w:snapToGrid w:val="0"/>
          <w:color w:val="000000"/>
          <w:kern w:val="0"/>
          <w:sz w:val="32"/>
          <w:szCs w:val="32"/>
          <w:lang w:val="en-US" w:eastAsia="zh-CN" w:bidi="ar-SA"/>
        </w:rPr>
        <w:t>网点</w:t>
      </w:r>
      <w:r>
        <w:rPr>
          <w:rFonts w:ascii="仿宋" w:hAnsi="仿宋" w:eastAsia="仿宋" w:cs="仿宋"/>
          <w:b w:val="0"/>
          <w:bCs w:val="0"/>
          <w:snapToGrid w:val="0"/>
          <w:color w:val="000000"/>
          <w:kern w:val="0"/>
          <w:sz w:val="32"/>
          <w:szCs w:val="32"/>
          <w:lang w:val="en-US" w:eastAsia="zh-CN" w:bidi="ar-SA"/>
        </w:rPr>
        <w:t>建设</w:t>
      </w:r>
      <w:r>
        <w:rPr>
          <w:rFonts w:hint="eastAsia" w:ascii="仿宋" w:hAnsi="仿宋" w:eastAsia="仿宋" w:cs="仿宋"/>
          <w:b w:val="0"/>
          <w:bCs w:val="0"/>
          <w:snapToGrid w:val="0"/>
          <w:color w:val="000000"/>
          <w:kern w:val="0"/>
          <w:sz w:val="32"/>
          <w:szCs w:val="32"/>
          <w:lang w:val="en-US" w:eastAsia="zh-CN" w:bidi="ar-SA"/>
        </w:rPr>
        <w:t>补贴投资30万元，占总投资的9.4%。</w:t>
      </w:r>
      <w:r>
        <w:rPr>
          <w:rFonts w:ascii="仿宋" w:hAnsi="仿宋" w:eastAsia="仿宋" w:cs="仿宋"/>
          <w:b w:val="0"/>
          <w:bCs w:val="0"/>
          <w:snapToGrid w:val="0"/>
          <w:color w:val="000000"/>
          <w:kern w:val="0"/>
          <w:sz w:val="32"/>
          <w:szCs w:val="32"/>
          <w:lang w:val="en-US" w:eastAsia="zh-CN" w:bidi="ar-SA"/>
        </w:rPr>
        <w:t>秸秆还田机具购置</w:t>
      </w:r>
      <w:r>
        <w:rPr>
          <w:rFonts w:hint="eastAsia" w:ascii="仿宋" w:hAnsi="仿宋" w:eastAsia="仿宋" w:cs="仿宋"/>
          <w:b w:val="0"/>
          <w:bCs w:val="0"/>
          <w:snapToGrid w:val="0"/>
          <w:color w:val="000000"/>
          <w:kern w:val="0"/>
          <w:sz w:val="32"/>
          <w:szCs w:val="32"/>
          <w:lang w:val="en-US" w:eastAsia="zh-CN" w:bidi="ar-SA"/>
        </w:rPr>
        <w:t>建设补贴51万元，占总投资的16%。</w:t>
      </w:r>
    </w:p>
    <w:p w14:paraId="71780214">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楷体" w:hAnsi="楷体" w:eastAsia="楷体" w:cs="楷体"/>
          <w:b/>
          <w:bCs/>
          <w:snapToGrid w:val="0"/>
          <w:color w:val="000000"/>
          <w:kern w:val="0"/>
          <w:sz w:val="32"/>
          <w:szCs w:val="32"/>
          <w:lang w:val="en-US" w:eastAsia="zh-CN" w:bidi="ar-SA"/>
        </w:rPr>
      </w:pPr>
      <w:r>
        <w:rPr>
          <w:rFonts w:hint="eastAsia" w:ascii="楷体" w:hAnsi="楷体" w:eastAsia="楷体" w:cs="楷体"/>
          <w:b/>
          <w:bCs/>
          <w:snapToGrid w:val="0"/>
          <w:color w:val="000000"/>
          <w:kern w:val="0"/>
          <w:sz w:val="32"/>
          <w:szCs w:val="32"/>
          <w:lang w:val="en-US" w:eastAsia="zh-CN" w:bidi="ar-SA"/>
        </w:rPr>
        <w:t>（二）资金筹措</w:t>
      </w:r>
    </w:p>
    <w:p w14:paraId="252FDA9B">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800" w:firstLineChars="25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本项目</w:t>
      </w:r>
      <w:r>
        <w:rPr>
          <w:rFonts w:hint="eastAsia" w:ascii="仿宋" w:hAnsi="仿宋" w:eastAsia="仿宋" w:cs="仿宋"/>
          <w:b w:val="0"/>
          <w:bCs w:val="0"/>
          <w:snapToGrid w:val="0"/>
          <w:color w:val="000000"/>
          <w:kern w:val="0"/>
          <w:sz w:val="32"/>
          <w:szCs w:val="32"/>
          <w:lang w:val="en-US" w:eastAsia="zh-CN" w:bidi="ar-SA"/>
        </w:rPr>
        <w:t>共投资319</w:t>
      </w:r>
      <w:r>
        <w:rPr>
          <w:rFonts w:ascii="仿宋" w:hAnsi="仿宋" w:eastAsia="仿宋" w:cs="仿宋"/>
          <w:b w:val="0"/>
          <w:bCs w:val="0"/>
          <w:snapToGrid w:val="0"/>
          <w:color w:val="000000"/>
          <w:kern w:val="0"/>
          <w:sz w:val="32"/>
          <w:szCs w:val="32"/>
          <w:lang w:val="en-US" w:eastAsia="zh-CN" w:bidi="ar-SA"/>
        </w:rPr>
        <w:t>万元，</w:t>
      </w:r>
      <w:r>
        <w:rPr>
          <w:rFonts w:hint="eastAsia" w:ascii="仿宋" w:hAnsi="仿宋" w:eastAsia="仿宋" w:cs="仿宋"/>
          <w:b w:val="0"/>
          <w:bCs w:val="0"/>
          <w:snapToGrid w:val="0"/>
          <w:color w:val="000000"/>
          <w:kern w:val="0"/>
          <w:sz w:val="32"/>
          <w:szCs w:val="32"/>
          <w:lang w:val="en-US" w:eastAsia="zh-CN" w:bidi="ar-SA"/>
        </w:rPr>
        <w:t>其中2025年秸秆综合利用专项结余资金51万元，2026年省级整合资金268万元（农业社会化服务资金43万元，粮油单产提升资金50万元，财政常态化帮扶资金99万元，省财政新增预算资金76万元）</w:t>
      </w:r>
      <w:r>
        <w:rPr>
          <w:rFonts w:ascii="仿宋" w:hAnsi="仿宋" w:eastAsia="仿宋" w:cs="仿宋"/>
          <w:b w:val="0"/>
          <w:bCs w:val="0"/>
          <w:snapToGrid w:val="0"/>
          <w:color w:val="000000"/>
          <w:kern w:val="0"/>
          <w:sz w:val="32"/>
          <w:szCs w:val="32"/>
          <w:lang w:val="en-US" w:eastAsia="zh-CN" w:bidi="ar-SA"/>
        </w:rPr>
        <w:t>。</w:t>
      </w:r>
    </w:p>
    <w:p w14:paraId="5BF0C229">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hint="eastAsia" w:ascii="黑体" w:hAnsi="黑体" w:eastAsia="黑体" w:cs="黑体"/>
          <w:b w:val="0"/>
          <w:bCs w:val="0"/>
          <w:snapToGrid w:val="0"/>
          <w:color w:val="000000"/>
          <w:kern w:val="0"/>
          <w:sz w:val="32"/>
          <w:szCs w:val="32"/>
          <w:lang w:val="en-US" w:eastAsia="zh-CN" w:bidi="ar-SA"/>
        </w:rPr>
      </w:pPr>
      <w:r>
        <w:rPr>
          <w:rFonts w:hint="eastAsia" w:ascii="黑体" w:hAnsi="黑体" w:eastAsia="黑体" w:cs="黑体"/>
          <w:b w:val="0"/>
          <w:bCs w:val="0"/>
          <w:snapToGrid w:val="0"/>
          <w:color w:val="000000"/>
          <w:kern w:val="0"/>
          <w:sz w:val="32"/>
          <w:szCs w:val="32"/>
          <w:lang w:val="en-US" w:eastAsia="zh-CN" w:bidi="ar-SA"/>
        </w:rPr>
        <w:t>五、效益分析</w:t>
      </w:r>
    </w:p>
    <w:p w14:paraId="4DA0A592">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0"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ascii="仿宋" w:hAnsi="仿宋" w:eastAsia="仿宋" w:cs="仿宋"/>
          <w:b w:val="0"/>
          <w:bCs w:val="0"/>
          <w:snapToGrid w:val="0"/>
          <w:color w:val="000000"/>
          <w:kern w:val="0"/>
          <w:sz w:val="32"/>
          <w:szCs w:val="32"/>
          <w:lang w:val="en-US" w:eastAsia="zh-CN" w:bidi="ar-SA"/>
        </w:rPr>
        <w:t>通过实施秸秆综合利用项目，构建起农户增收、集体增益、企业赋能、生态提质的多元利益联结机制</w:t>
      </w:r>
      <w:r>
        <w:rPr>
          <w:rFonts w:hint="eastAsia" w:ascii="仿宋" w:hAnsi="仿宋" w:eastAsia="仿宋" w:cs="仿宋"/>
          <w:b w:val="0"/>
          <w:bCs w:val="0"/>
          <w:snapToGrid w:val="0"/>
          <w:color w:val="000000"/>
          <w:kern w:val="0"/>
          <w:sz w:val="32"/>
          <w:szCs w:val="32"/>
          <w:lang w:val="en-US" w:eastAsia="zh-CN" w:bidi="ar-SA"/>
        </w:rPr>
        <w:t>,以</w:t>
      </w:r>
      <w:r>
        <w:rPr>
          <w:rFonts w:ascii="仿宋" w:hAnsi="仿宋" w:eastAsia="仿宋" w:cs="仿宋"/>
          <w:b w:val="0"/>
          <w:bCs w:val="0"/>
          <w:snapToGrid w:val="0"/>
          <w:color w:val="000000"/>
          <w:kern w:val="0"/>
          <w:sz w:val="32"/>
          <w:szCs w:val="32"/>
          <w:lang w:val="en-US" w:eastAsia="zh-CN" w:bidi="ar-SA"/>
        </w:rPr>
        <w:t>多方共赢格局有效化解基层治理阻力，持续激活内生动力。</w:t>
      </w:r>
    </w:p>
    <w:p w14:paraId="4804B542">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ascii="仿宋" w:hAnsi="仿宋" w:eastAsia="仿宋" w:cs="仿宋"/>
          <w:b w:val="0"/>
          <w:bCs w:val="0"/>
          <w:snapToGrid w:val="0"/>
          <w:color w:val="000000"/>
          <w:kern w:val="0"/>
          <w:sz w:val="32"/>
          <w:szCs w:val="32"/>
          <w:lang w:val="en-US" w:eastAsia="zh-CN" w:bidi="ar-SA"/>
        </w:rPr>
      </w:pPr>
      <w:r>
        <w:rPr>
          <w:rFonts w:hint="eastAsia" w:ascii="楷体" w:hAnsi="楷体" w:eastAsia="楷体" w:cs="楷体"/>
          <w:b/>
          <w:bCs/>
          <w:snapToGrid w:val="0"/>
          <w:color w:val="000000"/>
          <w:kern w:val="0"/>
          <w:sz w:val="32"/>
          <w:szCs w:val="32"/>
          <w:lang w:val="en-US" w:eastAsia="zh-CN" w:bidi="ar-SA"/>
        </w:rPr>
        <w:t>（一）经济效益</w:t>
      </w:r>
      <w:r>
        <w:rPr>
          <w:rFonts w:hint="eastAsia" w:ascii="楷体" w:hAnsi="楷体" w:eastAsia="楷体" w:cs="楷体"/>
          <w:b w:val="0"/>
          <w:bCs w:val="0"/>
          <w:snapToGrid w:val="0"/>
          <w:color w:val="000000"/>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通过实施秸秆收储运体系建设项目，可延长秸秆综合利用产业链条，加快推进秸秆资源化利用，提升秸秆价值，直接或间接增加企业收入。</w:t>
      </w:r>
    </w:p>
    <w:p w14:paraId="43D72995">
      <w:pPr>
        <w:keepNext w:val="0"/>
        <w:keepLines w:val="0"/>
        <w:pageBreakBefore w:val="0"/>
        <w:widowControl/>
        <w:kinsoku w:val="0"/>
        <w:wordWrap/>
        <w:overflowPunct/>
        <w:topLinePunct w:val="0"/>
        <w:autoSpaceDE w:val="0"/>
        <w:autoSpaceDN w:val="0"/>
        <w:bidi w:val="0"/>
        <w:adjustRightInd w:val="0"/>
        <w:snapToGrid w:val="0"/>
        <w:spacing w:after="0" w:line="580" w:lineRule="exact"/>
        <w:ind w:left="0" w:firstLine="643" w:firstLineChars="200"/>
        <w:jc w:val="left"/>
        <w:textAlignment w:val="baseline"/>
        <w:rPr>
          <w:rFonts w:hint="eastAsia" w:ascii="仿宋" w:hAnsi="仿宋" w:eastAsia="仿宋" w:cs="仿宋"/>
          <w:b/>
          <w:bCs/>
          <w:snapToGrid w:val="0"/>
          <w:color w:val="000000"/>
          <w:kern w:val="0"/>
          <w:sz w:val="32"/>
          <w:szCs w:val="32"/>
          <w:lang w:val="en-US" w:eastAsia="zh-CN" w:bidi="ar-SA"/>
        </w:rPr>
      </w:pPr>
      <w:r>
        <w:rPr>
          <w:rFonts w:hint="eastAsia" w:ascii="楷体_GB2312" w:hAnsi="楷体_GB2312" w:eastAsia="楷体_GB2312" w:cs="楷体_GB2312"/>
          <w:b/>
          <w:bCs/>
          <w:snapToGrid w:val="0"/>
          <w:color w:val="000000"/>
          <w:kern w:val="0"/>
          <w:sz w:val="32"/>
          <w:szCs w:val="32"/>
          <w:lang w:val="en-US" w:eastAsia="zh-CN" w:bidi="ar-SA"/>
        </w:rPr>
        <w:t>（二）社会效益</w:t>
      </w:r>
      <w:r>
        <w:rPr>
          <w:rFonts w:hint="eastAsia" w:ascii="楷体_GB2312" w:hAnsi="楷体_GB2312" w:eastAsia="楷体_GB2312" w:cs="楷体_GB2312"/>
          <w:b w:val="0"/>
          <w:bCs w:val="0"/>
          <w:snapToGrid w:val="0"/>
          <w:color w:val="000000"/>
          <w:kern w:val="0"/>
          <w:sz w:val="32"/>
          <w:szCs w:val="32"/>
          <w:lang w:val="en-US" w:eastAsia="zh-CN" w:bidi="ar-SA"/>
        </w:rPr>
        <w:t>。</w:t>
      </w:r>
      <w:r>
        <w:rPr>
          <w:rFonts w:ascii="仿宋" w:hAnsi="仿宋" w:eastAsia="仿宋" w:cs="仿宋"/>
          <w:b w:val="0"/>
          <w:bCs w:val="0"/>
          <w:snapToGrid w:val="0"/>
          <w:color w:val="000000"/>
          <w:kern w:val="0"/>
          <w:sz w:val="32"/>
          <w:szCs w:val="32"/>
          <w:lang w:val="en-US" w:eastAsia="zh-CN" w:bidi="ar-SA"/>
        </w:rPr>
        <w:t>一是倡议项目支持的收储主体利用完善的秸秆收储体系，对已打捆离田地块提供收、储、运等社会化服务，提高了机械化作业水平，降低农户种植成本，实现节本增效，并通过居间服务费等形式增加村集体经济收入。二是秸秆综合利用使废弃秸秆资源得到有效利用，促进资源节约型和环境友好型社会建设。三是秸秆综合利用带动基础设施完善，提升环境清洁度，改善人居环境，促进社会和谐稳定。</w:t>
      </w:r>
    </w:p>
    <w:p w14:paraId="7DD1834F">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、保障措施</w:t>
      </w:r>
    </w:p>
    <w:p w14:paraId="0084D09E">
      <w:pPr>
        <w:keepNext w:val="0"/>
        <w:keepLines w:val="0"/>
        <w:pageBreakBefore w:val="0"/>
        <w:widowControl w:val="0"/>
        <w:kinsoku/>
        <w:wordWrap/>
        <w:overflowPunct/>
        <w:topLinePunct w:val="0"/>
        <w:autoSpaceDE/>
        <w:autoSpaceDN/>
        <w:bidi w:val="0"/>
        <w:adjustRightInd/>
        <w:snapToGrid/>
        <w:spacing w:line="570" w:lineRule="exact"/>
        <w:ind w:right="0" w:firstLine="643" w:firstLineChars="200"/>
        <w:textAlignment w:val="auto"/>
        <w:outlineLvl w:val="9"/>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（一）加强组织领导</w:t>
      </w:r>
    </w:p>
    <w:p w14:paraId="3FC1931D">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为保证项目顺利实施，成立由分管领导任组长的秸秆综合利用项目</w:t>
      </w:r>
      <w:r>
        <w:rPr>
          <w:rFonts w:hint="eastAsia" w:ascii="Times New Roman" w:hAnsi="Times New Roman" w:eastAsia="仿宋_GB2312" w:cs="Times New Roman"/>
          <w:sz w:val="32"/>
          <w:szCs w:val="32"/>
          <w:lang w:eastAsia="zh-CN"/>
        </w:rPr>
        <w:t>专班</w:t>
      </w:r>
      <w:r>
        <w:rPr>
          <w:rFonts w:ascii="Times New Roman" w:hAnsi="Times New Roman" w:eastAsia="仿宋_GB2312" w:cs="Times New Roman"/>
          <w:sz w:val="32"/>
          <w:szCs w:val="32"/>
        </w:rPr>
        <w:t>，</w:t>
      </w:r>
      <w:r>
        <w:rPr>
          <w:rFonts w:ascii="仿宋" w:hAnsi="仿宋" w:eastAsia="仿宋" w:cs="仿宋"/>
          <w:snapToGrid w:val="0"/>
          <w:color w:val="auto"/>
          <w:kern w:val="0"/>
          <w:sz w:val="32"/>
          <w:szCs w:val="32"/>
          <w:lang w:val="en-US" w:eastAsia="zh-CN" w:bidi="ar-SA"/>
        </w:rPr>
        <w:t>沅陵县农村经营服务站</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科教股、</w:t>
      </w:r>
      <w:r>
        <w:rPr>
          <w:rFonts w:hint="eastAsia" w:ascii="Times New Roman" w:hAnsi="Times New Roman" w:eastAsia="仿宋_GB2312" w:cs="Times New Roman"/>
          <w:sz w:val="32"/>
          <w:szCs w:val="32"/>
          <w:lang w:val="en-US" w:eastAsia="zh-CN"/>
        </w:rPr>
        <w:t>农业机械化管理股、财务股、监督检查股、粮经站、相关乡镇农综主任为</w:t>
      </w:r>
      <w:r>
        <w:rPr>
          <w:rFonts w:hint="eastAsia" w:ascii="Times New Roman" w:hAnsi="Times New Roman" w:eastAsia="仿宋_GB2312" w:cs="Times New Roman"/>
          <w:sz w:val="32"/>
          <w:szCs w:val="32"/>
          <w:lang w:eastAsia="zh-CN"/>
        </w:rPr>
        <w:t>成员单位，</w:t>
      </w:r>
      <w:r>
        <w:rPr>
          <w:rFonts w:ascii="Times New Roman" w:hAnsi="Times New Roman" w:eastAsia="仿宋_GB2312" w:cs="Times New Roman"/>
          <w:sz w:val="32"/>
          <w:szCs w:val="32"/>
        </w:rPr>
        <w:t>统筹</w:t>
      </w:r>
      <w:r>
        <w:rPr>
          <w:rFonts w:hint="eastAsia" w:ascii="Times New Roman" w:hAnsi="Times New Roman" w:eastAsia="仿宋_GB2312" w:cs="Times New Roman"/>
          <w:sz w:val="32"/>
          <w:szCs w:val="32"/>
          <w:lang w:eastAsia="zh-CN"/>
        </w:rPr>
        <w:t>推进</w:t>
      </w:r>
      <w:r>
        <w:rPr>
          <w:rFonts w:ascii="Times New Roman" w:hAnsi="Times New Roman" w:eastAsia="仿宋_GB2312" w:cs="Times New Roman"/>
          <w:sz w:val="32"/>
          <w:szCs w:val="32"/>
        </w:rPr>
        <w:t>项目实施</w:t>
      </w:r>
      <w:r>
        <w:rPr>
          <w:rFonts w:hint="eastAsia" w:ascii="Times New Roman" w:hAnsi="Times New Roman" w:eastAsia="仿宋_GB2312" w:cs="Times New Roman"/>
          <w:sz w:val="32"/>
          <w:szCs w:val="32"/>
          <w:lang w:eastAsia="zh-CN"/>
        </w:rPr>
        <w:t>。专班</w:t>
      </w:r>
      <w:r>
        <w:rPr>
          <w:rFonts w:ascii="Times New Roman" w:hAnsi="Times New Roman" w:eastAsia="仿宋_GB2312" w:cs="Times New Roman"/>
          <w:sz w:val="32"/>
          <w:szCs w:val="32"/>
        </w:rPr>
        <w:t>下设办公室，办公室设在</w:t>
      </w:r>
      <w:r>
        <w:rPr>
          <w:rFonts w:hint="eastAsia" w:ascii="Times New Roman" w:hAnsi="Times New Roman" w:eastAsia="仿宋_GB2312" w:cs="Times New Roman"/>
          <w:sz w:val="32"/>
          <w:szCs w:val="32"/>
          <w:lang w:eastAsia="zh-CN"/>
        </w:rPr>
        <w:t>县</w:t>
      </w:r>
      <w:r>
        <w:rPr>
          <w:rFonts w:ascii="Times New Roman" w:hAnsi="Times New Roman" w:eastAsia="仿宋_GB2312" w:cs="Times New Roman"/>
          <w:sz w:val="32"/>
          <w:szCs w:val="32"/>
        </w:rPr>
        <w:t>农业农村局</w:t>
      </w:r>
      <w:r>
        <w:rPr>
          <w:rFonts w:hint="eastAsia" w:ascii="Times New Roman" w:hAnsi="Times New Roman" w:eastAsia="仿宋_GB2312" w:cs="Times New Roman"/>
          <w:sz w:val="32"/>
          <w:szCs w:val="32"/>
          <w:lang w:eastAsia="zh-CN"/>
        </w:rPr>
        <w:t>科教股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由科教股股长任办公室主任，全面做好项目的组织、协调、推进工作，具体负责秸秆离田及产业化利用建设和秸秆标准化收储网点建设。农业机械化管理股具体负责秸秆深翻埋茬建设和秸秆还田机具购置建设。沅陵县农村经营服务站、粮经站负责落实整合资金，协调、指导秸秆深翻埋茬建设。财务股负责项目资金统筹和使用。监督检查股负责项目落实情况和资金使用情况的监督检查。</w:t>
      </w:r>
      <w:r>
        <w:rPr>
          <w:rFonts w:ascii="Times New Roman" w:hAnsi="Times New Roman" w:eastAsia="仿宋_GB2312" w:cs="Times New Roman"/>
          <w:sz w:val="32"/>
          <w:szCs w:val="32"/>
        </w:rPr>
        <w:t>各</w:t>
      </w:r>
      <w:r>
        <w:rPr>
          <w:rFonts w:ascii="Times New Roman" w:hAnsi="Times New Roman" w:eastAsia="仿宋_GB2312" w:cs="Times New Roman"/>
          <w:kern w:val="0"/>
          <w:sz w:val="32"/>
          <w:szCs w:val="32"/>
        </w:rPr>
        <w:t>乡镇</w:t>
      </w:r>
      <w:r>
        <w:rPr>
          <w:rFonts w:ascii="Times New Roman" w:hAnsi="Times New Roman" w:eastAsia="仿宋_GB2312" w:cs="Times New Roman"/>
          <w:sz w:val="32"/>
          <w:szCs w:val="32"/>
        </w:rPr>
        <w:t>要明确职责分工，层层压实责任，形成工作合力，确保秸秆综合利用项目取得实效。</w:t>
      </w:r>
    </w:p>
    <w:p w14:paraId="32F28462">
      <w:pPr>
        <w:keepNext w:val="0"/>
        <w:keepLines w:val="0"/>
        <w:pageBreakBefore w:val="0"/>
        <w:widowControl w:val="0"/>
        <w:kinsoku/>
        <w:wordWrap/>
        <w:overflowPunct/>
        <w:topLinePunct w:val="0"/>
        <w:autoSpaceDE/>
        <w:autoSpaceDN/>
        <w:bidi w:val="0"/>
        <w:adjustRightInd/>
        <w:snapToGrid/>
        <w:spacing w:line="570" w:lineRule="exact"/>
        <w:ind w:right="0" w:firstLine="643" w:firstLineChars="200"/>
        <w:textAlignment w:val="auto"/>
        <w:outlineLvl w:val="9"/>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（二）</w:t>
      </w:r>
      <w:r>
        <w:rPr>
          <w:rFonts w:hint="eastAsia" w:ascii="Times New Roman" w:hAnsi="Times New Roman" w:eastAsia="楷体_GB2312" w:cs="Times New Roman"/>
          <w:b/>
          <w:bCs/>
          <w:sz w:val="32"/>
          <w:szCs w:val="32"/>
          <w:lang w:eastAsia="zh-CN"/>
        </w:rPr>
        <w:t>健全工作</w:t>
      </w:r>
      <w:r>
        <w:rPr>
          <w:rFonts w:ascii="Times New Roman" w:hAnsi="Times New Roman" w:eastAsia="楷体_GB2312" w:cs="Times New Roman"/>
          <w:b/>
          <w:bCs/>
          <w:sz w:val="32"/>
          <w:szCs w:val="32"/>
          <w:lang w:eastAsia="zh-CN"/>
        </w:rPr>
        <w:t>机制</w:t>
      </w:r>
    </w:p>
    <w:p w14:paraId="5DA22B7E">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健全完善</w:t>
      </w:r>
      <w:r>
        <w:rPr>
          <w:rFonts w:ascii="Times New Roman" w:hAnsi="Times New Roman" w:eastAsia="仿宋_GB2312" w:cs="Times New Roman"/>
          <w:sz w:val="32"/>
          <w:szCs w:val="32"/>
        </w:rPr>
        <w:t>“政府负责、部门联动、网格管理”的工作机制</w:t>
      </w:r>
      <w:r>
        <w:rPr>
          <w:rFonts w:hint="eastAsia" w:ascii="Times New Roman" w:hAnsi="Times New Roman" w:eastAsia="仿宋_GB2312" w:cs="Times New Roman"/>
          <w:sz w:val="32"/>
          <w:szCs w:val="32"/>
          <w:lang w:eastAsia="zh-CN"/>
        </w:rPr>
        <w:t>，坚持秸秆禁烧与秸秆综合利用相结合，</w:t>
      </w:r>
      <w:r>
        <w:rPr>
          <w:rFonts w:ascii="Times New Roman" w:hAnsi="Times New Roman" w:eastAsia="仿宋_GB2312" w:cs="Times New Roman"/>
          <w:sz w:val="32"/>
          <w:szCs w:val="32"/>
        </w:rPr>
        <w:t>加大工作</w:t>
      </w:r>
      <w:r>
        <w:rPr>
          <w:rFonts w:hint="eastAsia" w:ascii="Times New Roman" w:hAnsi="Times New Roman" w:eastAsia="仿宋_GB2312" w:cs="Times New Roman"/>
          <w:sz w:val="32"/>
          <w:szCs w:val="32"/>
          <w:lang w:eastAsia="zh-CN"/>
        </w:rPr>
        <w:t>力度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强化</w:t>
      </w:r>
      <w:r>
        <w:rPr>
          <w:rFonts w:ascii="Times New Roman" w:hAnsi="Times New Roman" w:eastAsia="仿宋_GB2312" w:cs="Times New Roman"/>
          <w:sz w:val="32"/>
          <w:szCs w:val="32"/>
        </w:rPr>
        <w:t>项目示范</w:t>
      </w:r>
      <w:r>
        <w:rPr>
          <w:rFonts w:hint="eastAsia" w:ascii="Times New Roman" w:hAnsi="Times New Roman" w:eastAsia="仿宋_GB2312" w:cs="Times New Roman"/>
          <w:sz w:val="32"/>
          <w:szCs w:val="32"/>
          <w:lang w:eastAsia="zh-CN"/>
        </w:rPr>
        <w:t>引领</w:t>
      </w:r>
      <w:r>
        <w:rPr>
          <w:rFonts w:ascii="Times New Roman" w:hAnsi="Times New Roman" w:eastAsia="仿宋_GB2312" w:cs="Times New Roman"/>
          <w:sz w:val="32"/>
          <w:szCs w:val="32"/>
        </w:rPr>
        <w:t>，全面调动农民和市场主体的积极性</w:t>
      </w:r>
      <w:r>
        <w:rPr>
          <w:rFonts w:hint="eastAsia" w:ascii="Times New Roman" w:hAnsi="Times New Roman" w:eastAsia="仿宋_GB2312" w:cs="Times New Roman"/>
          <w:sz w:val="32"/>
          <w:szCs w:val="32"/>
          <w:lang w:eastAsia="zh-CN"/>
        </w:rPr>
        <w:t>，实现</w:t>
      </w:r>
      <w:r>
        <w:rPr>
          <w:rFonts w:ascii="Times New Roman" w:hAnsi="Times New Roman" w:eastAsia="仿宋_GB2312" w:cs="Times New Roman"/>
          <w:sz w:val="32"/>
          <w:szCs w:val="32"/>
        </w:rPr>
        <w:t>秸秆综合</w:t>
      </w:r>
      <w:r>
        <w:rPr>
          <w:rFonts w:hint="eastAsia" w:ascii="Times New Roman" w:hAnsi="Times New Roman" w:eastAsia="仿宋_GB2312" w:cs="Times New Roman"/>
          <w:sz w:val="32"/>
          <w:szCs w:val="32"/>
          <w:lang w:eastAsia="zh-CN"/>
        </w:rPr>
        <w:t>高效</w:t>
      </w:r>
      <w:r>
        <w:rPr>
          <w:rFonts w:ascii="Times New Roman" w:hAnsi="Times New Roman" w:eastAsia="仿宋_GB2312" w:cs="Times New Roman"/>
          <w:sz w:val="32"/>
          <w:szCs w:val="32"/>
        </w:rPr>
        <w:t>利用。</w:t>
      </w:r>
    </w:p>
    <w:p w14:paraId="524C1C3B">
      <w:pPr>
        <w:keepNext w:val="0"/>
        <w:keepLines w:val="0"/>
        <w:pageBreakBefore w:val="0"/>
        <w:widowControl w:val="0"/>
        <w:kinsoku/>
        <w:wordWrap/>
        <w:overflowPunct/>
        <w:topLinePunct w:val="0"/>
        <w:autoSpaceDE/>
        <w:autoSpaceDN/>
        <w:bidi w:val="0"/>
        <w:adjustRightInd/>
        <w:snapToGrid/>
        <w:spacing w:line="570" w:lineRule="exact"/>
        <w:ind w:right="0" w:firstLine="643" w:firstLineChars="200"/>
        <w:textAlignment w:val="auto"/>
        <w:outlineLvl w:val="9"/>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（三）</w:t>
      </w:r>
      <w:r>
        <w:rPr>
          <w:rFonts w:hint="eastAsia" w:ascii="Times New Roman" w:hAnsi="Times New Roman" w:eastAsia="楷体_GB2312" w:cs="Times New Roman"/>
          <w:b/>
          <w:bCs/>
          <w:sz w:val="32"/>
          <w:szCs w:val="32"/>
          <w:lang w:eastAsia="zh-CN"/>
        </w:rPr>
        <w:t>加强</w:t>
      </w:r>
      <w:r>
        <w:rPr>
          <w:rFonts w:ascii="Times New Roman" w:hAnsi="Times New Roman" w:eastAsia="楷体_GB2312" w:cs="Times New Roman"/>
          <w:b/>
          <w:bCs/>
          <w:sz w:val="32"/>
          <w:szCs w:val="32"/>
          <w:lang w:eastAsia="zh-CN"/>
        </w:rPr>
        <w:t>宣传</w:t>
      </w:r>
      <w:r>
        <w:rPr>
          <w:rFonts w:hint="eastAsia" w:ascii="Times New Roman" w:hAnsi="Times New Roman" w:eastAsia="楷体_GB2312" w:cs="Times New Roman"/>
          <w:b/>
          <w:bCs/>
          <w:sz w:val="32"/>
          <w:szCs w:val="32"/>
          <w:lang w:eastAsia="zh-CN"/>
        </w:rPr>
        <w:t>引导</w:t>
      </w:r>
    </w:p>
    <w:p w14:paraId="667D95CE">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开展技术宣传培训，及时总结推广典型模式和良好做法。通过召开示范现场会及开展技术讲座等，引导农民和市场主体把秸秆综合利用化为自觉行动，推动项目顺利实施。充分利用短视频</w:t>
      </w:r>
      <w:r>
        <w:rPr>
          <w:rFonts w:hint="eastAsia" w:ascii="Times New Roman" w:hAnsi="Times New Roman" w:eastAsia="仿宋_GB2312" w:cs="Times New Roman"/>
          <w:sz w:val="32"/>
          <w:szCs w:val="32"/>
          <w:lang w:eastAsia="zh-CN"/>
        </w:rPr>
        <w:t>、公众号</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新</w:t>
      </w:r>
      <w:r>
        <w:rPr>
          <w:rFonts w:ascii="Times New Roman" w:hAnsi="Times New Roman" w:eastAsia="仿宋_GB2312" w:cs="Times New Roman"/>
          <w:sz w:val="32"/>
          <w:szCs w:val="32"/>
        </w:rPr>
        <w:t>媒体媒介，</w:t>
      </w:r>
      <w:r>
        <w:rPr>
          <w:rFonts w:hint="eastAsia" w:ascii="仿宋_GB2312" w:hAnsi="仿宋_GB2312" w:eastAsia="仿宋_GB2312" w:cs="仿宋_GB2312"/>
          <w:i w:val="0"/>
          <w:iCs w:val="0"/>
          <w:caps w:val="0"/>
          <w:smallCaps w:val="0"/>
          <w:color w:val="0D0D0D"/>
          <w:spacing w:val="0"/>
          <w:sz w:val="32"/>
          <w:szCs w:val="32"/>
          <w:shd w:val="clear" w:color="auto" w:fill="FFFFFF"/>
        </w:rPr>
        <w:t>常态化普及</w:t>
      </w:r>
      <w:r>
        <w:rPr>
          <w:rFonts w:hint="eastAsia" w:ascii="仿宋_GB2312" w:hAnsi="仿宋_GB2312" w:eastAsia="仿宋_GB2312" w:cs="仿宋_GB2312"/>
          <w:i w:val="0"/>
          <w:iCs w:val="0"/>
          <w:caps w:val="0"/>
          <w:smallCaps w:val="0"/>
          <w:color w:val="0D0D0D"/>
          <w:spacing w:val="0"/>
          <w:sz w:val="32"/>
          <w:szCs w:val="32"/>
          <w:shd w:val="clear" w:color="auto" w:fill="FFFFFF"/>
          <w:lang w:eastAsia="zh-CN"/>
        </w:rPr>
        <w:t>秸秆</w:t>
      </w:r>
      <w:r>
        <w:rPr>
          <w:rFonts w:hint="eastAsia" w:ascii="仿宋_GB2312" w:hAnsi="仿宋_GB2312" w:eastAsia="仿宋_GB2312" w:cs="仿宋_GB2312"/>
          <w:i w:val="0"/>
          <w:iCs w:val="0"/>
          <w:caps w:val="0"/>
          <w:smallCaps w:val="0"/>
          <w:color w:val="0D0D0D"/>
          <w:spacing w:val="0"/>
          <w:sz w:val="32"/>
          <w:szCs w:val="32"/>
          <w:shd w:val="clear" w:color="auto" w:fill="FFFFFF"/>
        </w:rPr>
        <w:t>离田利用价值，营造全民参与、共治共享的浓厚氛围。</w:t>
      </w:r>
    </w:p>
    <w:p w14:paraId="7C4327DA">
      <w:pPr>
        <w:keepNext w:val="0"/>
        <w:keepLines w:val="0"/>
        <w:pageBreakBefore w:val="0"/>
        <w:widowControl w:val="0"/>
        <w:kinsoku/>
        <w:wordWrap/>
        <w:overflowPunct/>
        <w:topLinePunct w:val="0"/>
        <w:autoSpaceDE/>
        <w:autoSpaceDN/>
        <w:bidi w:val="0"/>
        <w:adjustRightInd/>
        <w:snapToGrid/>
        <w:spacing w:line="570" w:lineRule="exact"/>
        <w:ind w:right="0" w:firstLine="643" w:firstLineChars="200"/>
        <w:textAlignment w:val="auto"/>
        <w:outlineLvl w:val="9"/>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eastAsia="zh-CN"/>
        </w:rPr>
        <w:t>四</w:t>
      </w:r>
      <w:r>
        <w:rPr>
          <w:rFonts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eastAsia="zh-CN"/>
        </w:rPr>
        <w:t>严格项目</w:t>
      </w:r>
      <w:r>
        <w:rPr>
          <w:rFonts w:ascii="Times New Roman" w:hAnsi="Times New Roman" w:eastAsia="楷体_GB2312" w:cs="Times New Roman"/>
          <w:b/>
          <w:bCs/>
          <w:sz w:val="32"/>
          <w:szCs w:val="32"/>
          <w:lang w:eastAsia="zh-CN"/>
        </w:rPr>
        <w:t>监管</w:t>
      </w:r>
    </w:p>
    <w:p w14:paraId="720C7C75">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hint="eastAsia" w:ascii="仿宋" w:hAnsi="仿宋" w:eastAsia="仿宋" w:cs="仿宋"/>
          <w:snapToGrid w:val="0"/>
          <w:color w:val="000000"/>
          <w:kern w:val="0"/>
          <w:sz w:val="32"/>
          <w:szCs w:val="32"/>
          <w:lang w:val="en-US" w:eastAsia="zh-CN" w:bidi="ar-SA"/>
        </w:rPr>
      </w:pPr>
      <w:r>
        <w:rPr>
          <w:rFonts w:ascii="Times New Roman" w:hAnsi="Times New Roman" w:eastAsia="仿宋_GB2312" w:cs="Times New Roman"/>
          <w:sz w:val="32"/>
          <w:szCs w:val="32"/>
        </w:rPr>
        <w:t>切实</w:t>
      </w:r>
      <w:r>
        <w:rPr>
          <w:rFonts w:hint="eastAsia" w:ascii="Times New Roman" w:hAnsi="Times New Roman" w:eastAsia="仿宋_GB2312" w:cs="Times New Roman"/>
          <w:sz w:val="32"/>
          <w:szCs w:val="32"/>
          <w:lang w:eastAsia="zh-CN"/>
        </w:rPr>
        <w:t>加强</w:t>
      </w:r>
      <w:r>
        <w:rPr>
          <w:rFonts w:ascii="Times New Roman" w:hAnsi="Times New Roman" w:eastAsia="仿宋_GB2312" w:cs="Times New Roman"/>
          <w:sz w:val="32"/>
          <w:szCs w:val="32"/>
        </w:rPr>
        <w:t>资金监管，提高资金使用效率。严格实行专账专人管理，严禁虚列或套取、截留、挤占和挪用项目资金，确保项目资金专款专</w:t>
      </w:r>
      <w:r>
        <w:rPr>
          <w:rFonts w:ascii="Times New Roman" w:hAnsi="Times New Roman" w:eastAsia="仿宋_GB2312" w:cs="Times New Roman"/>
          <w:sz w:val="32"/>
          <w:szCs w:val="32"/>
          <w:lang w:val="en-US" w:eastAsia="zh-CN"/>
        </w:rPr>
        <w:t>用。</w:t>
      </w:r>
    </w:p>
    <w:p w14:paraId="40237E6F">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textAlignment w:val="auto"/>
        <w:outlineLvl w:val="9"/>
        <w:rPr>
          <w:rFonts w:ascii="Times New Roman" w:hAnsi="Times New Roman" w:eastAsia="仿宋_GB2312" w:cs="Times New Roman"/>
          <w:sz w:val="32"/>
          <w:szCs w:val="32"/>
        </w:rPr>
      </w:pPr>
    </w:p>
    <w:p w14:paraId="4FA4A7F4">
      <w:pPr>
        <w:pStyle w:val="10"/>
        <w:ind w:left="0" w:firstLine="0"/>
        <w:rPr>
          <w:rFonts w:ascii="Times New Roman" w:hAnsi="Times New Roman" w:eastAsia="仿宋_GB2312" w:cs="Times New Roman"/>
          <w:sz w:val="32"/>
          <w:szCs w:val="32"/>
        </w:rPr>
      </w:pPr>
    </w:p>
    <w:p w14:paraId="7DC58EC9">
      <w:pPr>
        <w:pStyle w:val="10"/>
        <w:ind w:left="0" w:firstLine="0"/>
        <w:rPr>
          <w:rFonts w:ascii="Times New Roman" w:hAnsi="Times New Roman" w:eastAsia="仿宋_GB2312" w:cs="Times New Roman"/>
          <w:sz w:val="32"/>
          <w:szCs w:val="32"/>
        </w:rPr>
      </w:pPr>
    </w:p>
    <w:p w14:paraId="3DD7DD0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0587FFB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1D9A94F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49C2C05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45C0521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3212A30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0137E09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2181A66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4938834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p>
    <w:p w14:paraId="10908930">
      <w:pPr>
        <w:pStyle w:val="3"/>
        <w:ind w:left="0" w:leftChars="0" w:firstLine="0" w:firstLineChars="0"/>
        <w:rPr>
          <w:rFonts w:hint="default"/>
          <w:lang w:val="en-US" w:eastAsia="zh-CN"/>
        </w:rPr>
      </w:pPr>
    </w:p>
    <w:sectPr>
      <w:headerReference r:id="rId3" w:type="default"/>
      <w:footerReference r:id="rId4" w:type="default"/>
      <w:pgSz w:w="11900" w:h="16820"/>
      <w:pgMar w:top="1440" w:right="1797" w:bottom="1440" w:left="1797" w:header="0" w:footer="1141" w:gutter="0"/>
      <w:pgNumType w:fmt="decimal" w:start="2"/>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方正兰亭黑_GBK">
    <w:altName w:val="微软雅黑"/>
    <w:panose1 w:val="02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80F3C52" w:usb2="00000016" w:usb3="00000000" w:csb0="0004001F"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7B46">
    <w:pPr>
      <w:widowControl/>
      <w:kinsoku w:val="0"/>
      <w:autoSpaceDE w:val="0"/>
      <w:autoSpaceDN w:val="0"/>
      <w:adjustRightInd w:val="0"/>
      <w:snapToGrid w:val="0"/>
      <w:spacing w:before="1" w:line="175" w:lineRule="auto"/>
      <w:ind w:left="414"/>
      <w:jc w:val="left"/>
      <w:textAlignment w:val="baseline"/>
      <w:rPr>
        <w:rFonts w:ascii="宋体" w:hAnsi="宋体" w:eastAsia="宋体" w:cs="宋体"/>
        <w:snapToGrid w:val="0"/>
        <w:color w:val="000000"/>
        <w:kern w:val="0"/>
        <w:sz w:val="27"/>
        <w:szCs w:val="27"/>
      </w:rPr>
    </w:pPr>
    <w:r>
      <w:rPr>
        <w:rFonts w:ascii="Arial" w:hAnsi="Arial" w:eastAsia="Arial" w:cs="Arial"/>
        <w:snapToGrid w:val="0"/>
        <w:color w:val="000000"/>
        <w:kern w:val="0"/>
        <w:sz w:val="27"/>
        <w:szCs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00" cy="133350"/>
              <wp:effectExtent l="0" t="0" r="0" b="0"/>
              <wp:wrapNone/>
              <wp:docPr id="4" name="文本框 4"/>
              <wp:cNvGraphicFramePr/>
              <a:graphic xmlns:a="http://schemas.openxmlformats.org/drawingml/2006/main">
                <a:graphicData uri="http://schemas.microsoft.com/office/word/2010/wordprocessingShape">
                  <wps:wsp>
                    <wps:cNvSpPr/>
                    <wps:spPr>
                      <a:xfrm>
                        <a:off x="0" y="0"/>
                        <a:ext cx="76200" cy="133052"/>
                      </a:xfrm>
                      <a:prstGeom prst="rect">
                        <a:avLst/>
                      </a:prstGeom>
                      <a:noFill/>
                      <a:ln w="6350" cap="flat" cmpd="sng">
                        <a:noFill/>
                        <a:prstDash val="solid"/>
                        <a:round/>
                      </a:ln>
                    </wps:spPr>
                    <wps:txbx>
                      <w:txbxContent>
                        <w:p w14:paraId="4FFF5137">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bidi="ar-SA"/>
                            </w:rPr>
                          </w:pPr>
                          <w:r>
                            <w:rPr>
                              <w:rFonts w:ascii="Arial" w:hAnsi="Arial" w:eastAsia="Arial" w:cs="Arial"/>
                              <w:snapToGrid w:val="0"/>
                              <w:color w:val="000000"/>
                              <w:kern w:val="0"/>
                              <w:sz w:val="18"/>
                              <w:szCs w:val="21"/>
                              <w:lang w:val="en-US" w:bidi="ar-SA"/>
                            </w:rPr>
                            <w:t xml:space="preserve">— </w:t>
                          </w:r>
                          <w:r>
                            <w:rPr>
                              <w:rFonts w:ascii="Arial" w:hAnsi="Arial" w:eastAsia="Arial" w:cs="Arial"/>
                              <w:snapToGrid w:val="0"/>
                              <w:color w:val="000000"/>
                              <w:kern w:val="0"/>
                              <w:sz w:val="18"/>
                              <w:szCs w:val="21"/>
                              <w:lang w:val="en-US" w:bidi="ar-SA"/>
                            </w:rPr>
                            <w:fldChar w:fldCharType="begin"/>
                          </w:r>
                          <w:r>
                            <w:rPr>
                              <w:rFonts w:ascii="Arial" w:hAnsi="Arial" w:eastAsia="Arial" w:cs="Arial"/>
                              <w:snapToGrid w:val="0"/>
                              <w:color w:val="000000"/>
                              <w:kern w:val="0"/>
                              <w:sz w:val="18"/>
                              <w:szCs w:val="21"/>
                              <w:lang w:val="en-US" w:bidi="ar-SA"/>
                            </w:rPr>
                            <w:instrText xml:space="preserve"> PAGE  \* MERGEFORMAT </w:instrText>
                          </w:r>
                          <w:r>
                            <w:rPr>
                              <w:rFonts w:ascii="Arial" w:hAnsi="Arial" w:eastAsia="Arial" w:cs="Arial"/>
                              <w:snapToGrid w:val="0"/>
                              <w:color w:val="000000"/>
                              <w:kern w:val="0"/>
                              <w:sz w:val="18"/>
                              <w:szCs w:val="21"/>
                              <w:lang w:val="en-US" w:bidi="ar-SA"/>
                            </w:rPr>
                            <w:fldChar w:fldCharType="separate"/>
                          </w:r>
                          <w:r>
                            <w:rPr>
                              <w:rFonts w:ascii="Arial" w:hAnsi="Arial" w:eastAsia="Arial" w:cs="Arial"/>
                              <w:snapToGrid w:val="0"/>
                              <w:color w:val="000000"/>
                              <w:kern w:val="0"/>
                              <w:sz w:val="18"/>
                              <w:szCs w:val="21"/>
                              <w:lang w:val="en-US" w:bidi="ar-SA"/>
                            </w:rPr>
                            <w:t>2</w:t>
                          </w:r>
                          <w:r>
                            <w:rPr>
                              <w:rFonts w:ascii="Arial" w:hAnsi="Arial" w:eastAsia="Arial" w:cs="Arial"/>
                              <w:snapToGrid w:val="0"/>
                              <w:color w:val="000000"/>
                              <w:kern w:val="0"/>
                              <w:sz w:val="18"/>
                              <w:szCs w:val="21"/>
                              <w:lang w:val="en-US" w:bidi="ar-SA"/>
                            </w:rPr>
                            <w:fldChar w:fldCharType="end"/>
                          </w:r>
                          <w:r>
                            <w:rPr>
                              <w:rFonts w:ascii="Arial" w:hAnsi="Arial" w:eastAsia="Arial" w:cs="Arial"/>
                              <w:snapToGrid w:val="0"/>
                              <w:color w:val="000000"/>
                              <w:kern w:val="0"/>
                              <w:sz w:val="18"/>
                              <w:szCs w:val="21"/>
                              <w:lang w:val="en-US" w:bidi="ar-SA"/>
                            </w:rPr>
                            <w:t xml:space="preserve"> —</w:t>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5pt;width:6pt;mso-position-horizontal:outside;mso-position-horizontal-relative:margin;mso-wrap-style:none;z-index:251659264;mso-width-relative:page;mso-height-relative:page;" filled="f" stroked="f" coordsize="21600,21600" o:gfxdata="UEsDBAoAAAAAAIdO4kAAAAAAAAAAAAAAAAAEAAAAZHJzL1BLAwQUAAAACACHTuJAyOe46NUAAAAD&#10;AQAADwAAAGRycy9kb3ducmV2LnhtbE2PQUvEMBCF74L/IYzgZXGT9iBSO92DooLowe4ieMs2s03Z&#10;ZlKbbLv668160cuDxxve+6ZcHV0vJhpD5xkhWyoQxI03HbcIm/XD1Q2IEDUb3XsmhC8KsKrOz0pd&#10;GD/zG011bEUq4VBoBBvjUEgZGktOh6UfiFO286PTMdmxlWbUcyp3vcyVupZOd5wWrB7ozlKzrw8O&#10;4eX+8eN9YZ9V/vq92Pm53kyfT3vEy4tM3YKIdIx/x3DCT+hQJaatP7AJokdIj8RfPWV5cluEPFMg&#10;q1L+Z69+AFBLAwQUAAAACACHTuJAYPgrpwICAADzAwAADgAAAGRycy9lMm9Eb2MueG1srVPNjtMw&#10;EL4j8Q6W7zRpu1tQ1HSFqBYhIVhp4QFcx2ks+U8zbpPyAPAGnLhw57n6HIyddrtaLnvgkny2x9/M&#10;9814eTNYw/YKUHtX8+mk5Ew56RvttjX/+uX21RvOMArXCOOdqvlBIb9ZvXyx7EOlZr7zplHAiMRh&#10;1YeadzGGqihQdsoKnPigHB22HqyItIRt0YDoid2aYlaWi6L30ATwUiHS7no85CdGeA6hb1st1drL&#10;nVUujqygjIgkCTsdkK9ytW2rZPzctqgiMzUnpTF/KQnhTfoWq6WotiBCp+WpBPGcEp5oskI7SvpA&#10;tRZRsB3of6isluDRt3EivS1GIdkRUjEtn3hz34mgshayGsOD6fj/aOWn/R0w3dT8ijMnLDX8+PPH&#10;8def4+/v7CrZ0wesKOo+3MFphQST1qEFm/6kgg3Z0sODpWqITNLm6wX1nDNJJ9P5vLyeJcricjcA&#10;xvfKW5ZAzYEaln0U+48Yx9BzSErl/K02hvZFZRzra76YXyd6QYPY0gAQtIHEoNtmmkfxiWYtsGN7&#10;QbOA3uhm7D74nWvGVMZRcUnwKDGhOGwGOkxw45sDmUVvhyrtPHzjrKfJqbmjh8KZ+eCoMWnIzgDO&#10;YHMGwkm6WHMqdITv4jiMuwB62xFvmevG8HYXSWu24JL7VB3NQjbxNLdp2B6vc9Tlra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nuOjVAAAAAwEAAA8AAAAAAAAAAQAgAAAAIgAAAGRycy9kb3du&#10;cmV2LnhtbFBLAQIUABQAAAAIAIdO4kBg+CunAgIAAPMDAAAOAAAAAAAAAAEAIAAAACQBAABkcnMv&#10;ZTJvRG9jLnhtbFBLBQYAAAAABgAGAFkBAACYBQAAAAA=&#10;">
              <v:fill on="f" focussize="0,0"/>
              <v:stroke on="f" weight="0.5pt" joinstyle="round"/>
              <v:imagedata o:title=""/>
              <o:lock v:ext="edit" aspectratio="f"/>
              <v:textbox inset="0mm,0mm,0mm,0mm" style="mso-fit-shape-to-text:t;">
                <w:txbxContent>
                  <w:p w14:paraId="4FFF5137">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bidi="ar-SA"/>
                      </w:rPr>
                    </w:pPr>
                    <w:r>
                      <w:rPr>
                        <w:rFonts w:ascii="Arial" w:hAnsi="Arial" w:eastAsia="Arial" w:cs="Arial"/>
                        <w:snapToGrid w:val="0"/>
                        <w:color w:val="000000"/>
                        <w:kern w:val="0"/>
                        <w:sz w:val="18"/>
                        <w:szCs w:val="21"/>
                        <w:lang w:val="en-US" w:bidi="ar-SA"/>
                      </w:rPr>
                      <w:t xml:space="preserve">— </w:t>
                    </w:r>
                    <w:r>
                      <w:rPr>
                        <w:rFonts w:ascii="Arial" w:hAnsi="Arial" w:eastAsia="Arial" w:cs="Arial"/>
                        <w:snapToGrid w:val="0"/>
                        <w:color w:val="000000"/>
                        <w:kern w:val="0"/>
                        <w:sz w:val="18"/>
                        <w:szCs w:val="21"/>
                        <w:lang w:val="en-US" w:bidi="ar-SA"/>
                      </w:rPr>
                      <w:fldChar w:fldCharType="begin"/>
                    </w:r>
                    <w:r>
                      <w:rPr>
                        <w:rFonts w:ascii="Arial" w:hAnsi="Arial" w:eastAsia="Arial" w:cs="Arial"/>
                        <w:snapToGrid w:val="0"/>
                        <w:color w:val="000000"/>
                        <w:kern w:val="0"/>
                        <w:sz w:val="18"/>
                        <w:szCs w:val="21"/>
                        <w:lang w:val="en-US" w:bidi="ar-SA"/>
                      </w:rPr>
                      <w:instrText xml:space="preserve"> PAGE  \* MERGEFORMAT </w:instrText>
                    </w:r>
                    <w:r>
                      <w:rPr>
                        <w:rFonts w:ascii="Arial" w:hAnsi="Arial" w:eastAsia="Arial" w:cs="Arial"/>
                        <w:snapToGrid w:val="0"/>
                        <w:color w:val="000000"/>
                        <w:kern w:val="0"/>
                        <w:sz w:val="18"/>
                        <w:szCs w:val="21"/>
                        <w:lang w:val="en-US" w:bidi="ar-SA"/>
                      </w:rPr>
                      <w:fldChar w:fldCharType="separate"/>
                    </w:r>
                    <w:r>
                      <w:rPr>
                        <w:rFonts w:ascii="Arial" w:hAnsi="Arial" w:eastAsia="Arial" w:cs="Arial"/>
                        <w:snapToGrid w:val="0"/>
                        <w:color w:val="000000"/>
                        <w:kern w:val="0"/>
                        <w:sz w:val="18"/>
                        <w:szCs w:val="21"/>
                        <w:lang w:val="en-US" w:bidi="ar-SA"/>
                      </w:rPr>
                      <w:t>2</w:t>
                    </w:r>
                    <w:r>
                      <w:rPr>
                        <w:rFonts w:ascii="Arial" w:hAnsi="Arial" w:eastAsia="Arial" w:cs="Arial"/>
                        <w:snapToGrid w:val="0"/>
                        <w:color w:val="000000"/>
                        <w:kern w:val="0"/>
                        <w:sz w:val="18"/>
                        <w:szCs w:val="21"/>
                        <w:lang w:val="en-US" w:bidi="ar-SA"/>
                      </w:rPr>
                      <w:fldChar w:fldCharType="end"/>
                    </w:r>
                    <w:r>
                      <w:rPr>
                        <w:rFonts w:ascii="Arial" w:hAnsi="Arial" w:eastAsia="Arial" w:cs="Arial"/>
                        <w:snapToGrid w:val="0"/>
                        <w:color w:val="000000"/>
                        <w:kern w:val="0"/>
                        <w:sz w:val="18"/>
                        <w:szCs w:val="21"/>
                        <w:lang w:val="en-US" w:bidi="ar-SA"/>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3E82E">
    <w:pPr>
      <w:rPr>
        <w:sz w:val="21"/>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B293B1"/>
    <w:multiLevelType w:val="multilevel"/>
    <w:tmpl w:val="CBB293B1"/>
    <w:lvl w:ilvl="0" w:tentative="0">
      <w:start w:val="1"/>
      <w:numFmt w:val="chineseCountingThousand"/>
      <w:pStyle w:val="9"/>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QxMWM3MGY4NmYwMDY0MTBlMGU4Mzk5NjRkYWUyY2EifQ=="/>
  </w:docVars>
  <w:rsids>
    <w:rsidRoot w:val="00000000"/>
    <w:rsid w:val="0920681F"/>
    <w:rsid w:val="194D5F83"/>
    <w:rsid w:val="328477C1"/>
    <w:rsid w:val="42DC527F"/>
    <w:rsid w:val="43B81849"/>
    <w:rsid w:val="4E724CEA"/>
    <w:rsid w:val="4F676190"/>
    <w:rsid w:val="5813309A"/>
    <w:rsid w:val="585F62DF"/>
    <w:rsid w:val="6F9C45B6"/>
    <w:rsid w:val="70DB20AC"/>
    <w:rsid w:val="734463A5"/>
    <w:rsid w:val="7E924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link w:val="1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4"/>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6">
    <w:name w:val="heading 3"/>
    <w:basedOn w:val="1"/>
    <w:next w:val="1"/>
    <w:link w:val="15"/>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Normal Indent"/>
    <w:basedOn w:val="1"/>
    <w:qFormat/>
    <w:uiPriority w:val="0"/>
    <w:pPr>
      <w:ind w:firstLine="42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footnote text"/>
    <w:basedOn w:val="1"/>
    <w:qFormat/>
    <w:uiPriority w:val="0"/>
    <w:pPr>
      <w:snapToGrid w:val="0"/>
      <w:jc w:val="left"/>
    </w:pPr>
    <w:rPr>
      <w:sz w:val="18"/>
    </w:rPr>
  </w:style>
  <w:style w:type="paragraph" w:styleId="9">
    <w:name w:val="Body Text 2"/>
    <w:basedOn w:val="1"/>
    <w:qFormat/>
    <w:uiPriority w:val="0"/>
    <w:pPr>
      <w:widowControl/>
      <w:numPr>
        <w:ilvl w:val="0"/>
        <w:numId w:val="1"/>
      </w:numPr>
      <w:tabs>
        <w:tab w:val="clear" w:pos="1440"/>
      </w:tabs>
      <w:spacing w:before="50" w:beforeLines="50" w:line="336" w:lineRule="auto"/>
      <w:ind w:left="0" w:firstLine="0"/>
    </w:pPr>
    <w:rPr>
      <w:rFonts w:ascii="Times New Roman" w:hAnsi="Times New Roman" w:eastAsia="黑体" w:cs="Times New Roman"/>
      <w:szCs w:val="20"/>
      <w:lang w:val="en-GB"/>
    </w:rPr>
  </w:style>
  <w:style w:type="paragraph" w:styleId="10">
    <w:name w:val="Body Text First Indent"/>
    <w:basedOn w:val="2"/>
    <w:qFormat/>
    <w:uiPriority w:val="0"/>
    <w:pPr>
      <w:ind w:firstLine="420"/>
    </w:pPr>
    <w:rPr>
      <w:rFonts w:ascii="Times New Roman" w:hAnsi="Times New Roman" w:eastAsia="宋体" w:cs="Times New Roman"/>
      <w:bCs/>
    </w:rPr>
  </w:style>
  <w:style w:type="character" w:customStyle="1" w:styleId="13">
    <w:name w:val="heading 1 Char"/>
    <w:basedOn w:val="12"/>
    <w:link w:val="4"/>
    <w:qFormat/>
    <w:uiPriority w:val="0"/>
    <w:rPr>
      <w:rFonts w:ascii="Calibri" w:hAnsi="Calibri" w:eastAsia="宋体" w:cs="Arial"/>
      <w:b/>
      <w:bCs/>
      <w:kern w:val="44"/>
      <w:sz w:val="44"/>
      <w:szCs w:val="44"/>
      <w:lang w:val="en-US" w:eastAsia="zh-CN" w:bidi="ar-SA"/>
    </w:rPr>
  </w:style>
  <w:style w:type="character" w:customStyle="1" w:styleId="14">
    <w:name w:val="heading 2 Char"/>
    <w:basedOn w:val="12"/>
    <w:link w:val="5"/>
    <w:qFormat/>
    <w:uiPriority w:val="0"/>
    <w:rPr>
      <w:rFonts w:ascii="方正兰亭黑_GBK" w:hAnsi="方正兰亭黑_GBK" w:eastAsia="黑体" w:cs="Arial"/>
      <w:b/>
      <w:bCs/>
      <w:kern w:val="2"/>
      <w:sz w:val="32"/>
      <w:szCs w:val="32"/>
      <w:lang w:val="en-US" w:eastAsia="zh-CN" w:bidi="ar-SA"/>
    </w:rPr>
  </w:style>
  <w:style w:type="character" w:customStyle="1" w:styleId="15">
    <w:name w:val="heading 3 Char"/>
    <w:basedOn w:val="12"/>
    <w:link w:val="6"/>
    <w:qFormat/>
    <w:uiPriority w:val="0"/>
    <w:rPr>
      <w:rFonts w:ascii="Calibri" w:hAnsi="Calibri"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FBBC8B-5E82-4B6E-9011-37034503A8A9}">
  <ds:schemaRefs/>
</ds:datastoreItem>
</file>

<file path=docProps/app.xml><?xml version="1.0" encoding="utf-8"?>
<Properties xmlns="http://schemas.openxmlformats.org/officeDocument/2006/extended-properties" xmlns:vt="http://schemas.openxmlformats.org/officeDocument/2006/docPropsVTypes">
  <Template>Normal.eit</Template>
  <Pages>8</Pages>
  <Words>4031</Words>
  <Characters>4161</Characters>
  <Lines>0</Lines>
  <Paragraphs>110</Paragraphs>
  <TotalTime>20</TotalTime>
  <ScaleCrop>false</ScaleCrop>
  <LinksUpToDate>false</LinksUpToDate>
  <CharactersWithSpaces>4269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2024-07-11T09:21:00Z</dcterms:created>
  <dc:creator>pc</dc:creator>
  <cp:lastModifiedBy>慧子</cp:lastModifiedBy>
  <cp:lastPrinted>2026-09-02T01:32:00Z</cp:lastPrinted>
  <dcterms:modified xsi:type="dcterms:W3CDTF">2026-09-03T08:22:21Z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C1C92012B9C3485FA8C0F46843C9901D_13</vt:lpwstr>
  </property>
  <property fmtid="{D5CDD505-2E9C-101B-9397-08002B2CF9AE}" pid="4" name="KSOTemplateDocerSaveRecord">
    <vt:lpwstr>eyJoZGlkIjoiMjJiMGU5Yzg3ZDU1MjRlOWM5Yzg5MTFmZGViMWNmMDciLCJ1c2VySWQiOiIzODQwOTU1MTgifQ==</vt:lpwstr>
  </property>
</Properties>
</file>