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9"/>
        <w:ind w:firstLine="0" w:firstLineChars="0"/>
        <w:rPr>
          <w:color w:val="000000" w:themeColor="text1"/>
          <w14:textFill>
            <w14:solidFill>
              <w14:schemeClr w14:val="tx1"/>
            </w14:solidFill>
          </w14:textFill>
        </w:rPr>
      </w:pPr>
    </w:p>
    <w:p>
      <w:pPr>
        <w:pStyle w:val="69"/>
        <w:ind w:firstLine="0" w:firstLineChars="0"/>
        <w:rPr>
          <w:color w:val="000000" w:themeColor="text1"/>
          <w14:textFill>
            <w14:solidFill>
              <w14:schemeClr w14:val="tx1"/>
            </w14:solidFill>
          </w14:textFill>
        </w:rPr>
      </w:pPr>
    </w:p>
    <w:p>
      <w:pPr>
        <w:pStyle w:val="69"/>
        <w:ind w:firstLine="0" w:firstLineChars="0"/>
        <w:rPr>
          <w:color w:val="000000" w:themeColor="text1"/>
          <w14:textFill>
            <w14:solidFill>
              <w14:schemeClr w14:val="tx1"/>
            </w14:solidFill>
          </w14:textFill>
        </w:rPr>
      </w:pPr>
    </w:p>
    <w:p>
      <w:pPr>
        <w:pStyle w:val="69"/>
        <w:ind w:firstLine="0" w:firstLineChars="0"/>
        <w:rPr>
          <w:color w:val="000000" w:themeColor="text1"/>
          <w14:textFill>
            <w14:solidFill>
              <w14:schemeClr w14:val="tx1"/>
            </w14:solidFill>
          </w14:textFill>
        </w:rPr>
      </w:pPr>
    </w:p>
    <w:p>
      <w:pPr>
        <w:jc w:val="center"/>
        <w:rPr>
          <w:color w:val="000000" w:themeColor="text1"/>
          <w:sz w:val="56"/>
          <w:szCs w:val="56"/>
          <w14:textFill>
            <w14:solidFill>
              <w14:schemeClr w14:val="tx1"/>
            </w14:solidFill>
          </w14:textFill>
        </w:rPr>
      </w:pPr>
      <w:r>
        <w:rPr>
          <w:rFonts w:hint="eastAsia"/>
          <w:b/>
          <w:color w:val="000000" w:themeColor="text1"/>
          <w:sz w:val="56"/>
          <w:szCs w:val="56"/>
          <w14:textFill>
            <w14:solidFill>
              <w14:schemeClr w14:val="tx1"/>
            </w14:solidFill>
          </w14:textFill>
        </w:rPr>
        <w:t>沅陵产业开发区扩区规划环境影响报告书（征求意见稿）</w:t>
      </w: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ind w:firstLine="480"/>
        <w:rPr>
          <w:color w:val="000000" w:themeColor="text1"/>
          <w14:textFill>
            <w14:solidFill>
              <w14:schemeClr w14:val="tx1"/>
            </w14:solidFill>
          </w14:textFill>
        </w:rPr>
      </w:pPr>
    </w:p>
    <w:p>
      <w:pPr>
        <w:jc w:val="center"/>
        <w:rPr>
          <w:b/>
          <w:spacing w:val="4"/>
          <w:sz w:val="44"/>
          <w:szCs w:val="44"/>
        </w:rPr>
      </w:pPr>
      <w:r>
        <w:rPr>
          <w:rFonts w:hint="eastAsia"/>
          <w:b/>
          <w:spacing w:val="4"/>
          <w:sz w:val="44"/>
          <w:szCs w:val="44"/>
        </w:rPr>
        <w:t>沅陵产业开发区管理委员会</w:t>
      </w:r>
    </w:p>
    <w:p>
      <w:pPr>
        <w:jc w:val="center"/>
        <w:rPr>
          <w:b/>
          <w:spacing w:val="4"/>
          <w:sz w:val="44"/>
          <w:szCs w:val="44"/>
        </w:rPr>
      </w:pPr>
      <w:r>
        <w:rPr>
          <w:rFonts w:hint="eastAsia"/>
          <w:b/>
          <w:spacing w:val="4"/>
          <w:sz w:val="44"/>
          <w:szCs w:val="44"/>
        </w:rPr>
        <w:t>2</w:t>
      </w:r>
      <w:r>
        <w:rPr>
          <w:b/>
          <w:spacing w:val="4"/>
          <w:sz w:val="44"/>
          <w:szCs w:val="44"/>
        </w:rPr>
        <w:t>026年</w:t>
      </w:r>
      <w:r>
        <w:rPr>
          <w:rFonts w:hint="eastAsia"/>
          <w:b/>
          <w:spacing w:val="4"/>
          <w:sz w:val="44"/>
          <w:szCs w:val="44"/>
        </w:rPr>
        <w:t>8</w:t>
      </w:r>
      <w:r>
        <w:rPr>
          <w:b/>
          <w:spacing w:val="4"/>
          <w:sz w:val="44"/>
          <w:szCs w:val="44"/>
        </w:rPr>
        <w:t>月</w:t>
      </w:r>
    </w:p>
    <w:p>
      <w:pPr>
        <w:spacing w:before="163" w:beforeLines="50"/>
        <w:jc w:val="center"/>
        <w:rPr>
          <w:rFonts w:eastAsia="仿宋"/>
          <w:b/>
          <w:bCs/>
          <w:color w:val="000000" w:themeColor="text1"/>
          <w14:textFill>
            <w14:solidFill>
              <w14:schemeClr w14:val="tx1"/>
            </w14:solidFill>
          </w14:textFill>
        </w:rPr>
      </w:pPr>
    </w:p>
    <w:p>
      <w:pPr>
        <w:spacing w:before="163" w:beforeLines="50"/>
        <w:jc w:val="center"/>
        <w:rPr>
          <w:rFonts w:eastAsia="仿宋"/>
          <w:b/>
          <w:bCs/>
          <w:color w:val="000000" w:themeColor="text1"/>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440" w:right="1800" w:bottom="1440" w:left="1800" w:header="850" w:footer="850" w:gutter="0"/>
          <w:pgNumType w:fmt="upperRoman" w:start="1"/>
          <w:cols w:space="720" w:num="1"/>
          <w:docGrid w:type="lines" w:linePitch="326" w:charSpace="0"/>
        </w:sectPr>
      </w:pPr>
    </w:p>
    <w:p>
      <w:pPr>
        <w:spacing w:before="163" w:beforeLines="50"/>
        <w:jc w:val="center"/>
        <w:rPr>
          <w:rFonts w:eastAsia="仿宋"/>
          <w:b/>
          <w:bCs/>
          <w:color w:val="000000" w:themeColor="text1"/>
          <w:sz w:val="36"/>
          <w14:textFill>
            <w14:solidFill>
              <w14:schemeClr w14:val="tx1"/>
            </w14:solidFill>
          </w14:textFill>
        </w:rPr>
      </w:pPr>
      <w:r>
        <w:rPr>
          <w:rFonts w:eastAsia="仿宋"/>
          <w:b/>
          <w:bCs/>
          <w:color w:val="000000" w:themeColor="text1"/>
          <w:sz w:val="36"/>
          <w14:textFill>
            <w14:solidFill>
              <w14:schemeClr w14:val="tx1"/>
            </w14:solidFill>
          </w14:textFill>
        </w:rPr>
        <w:t>目</w:t>
      </w:r>
      <w:r>
        <w:rPr>
          <w:rFonts w:hint="eastAsia" w:eastAsia="仿宋"/>
          <w:b/>
          <w:bCs/>
          <w:color w:val="000000" w:themeColor="text1"/>
          <w:sz w:val="36"/>
          <w14:textFill>
            <w14:solidFill>
              <w14:schemeClr w14:val="tx1"/>
            </w14:solidFill>
          </w14:textFill>
        </w:rPr>
        <w:t xml:space="preserve"> </w:t>
      </w:r>
      <w:r>
        <w:rPr>
          <w:rFonts w:eastAsia="仿宋"/>
          <w:b/>
          <w:bCs/>
          <w:color w:val="000000" w:themeColor="text1"/>
          <w:sz w:val="36"/>
          <w14:textFill>
            <w14:solidFill>
              <w14:schemeClr w14:val="tx1"/>
            </w14:solidFill>
          </w14:textFill>
        </w:rPr>
        <w:t>录</w:t>
      </w:r>
    </w:p>
    <w:p>
      <w:pPr>
        <w:pStyle w:val="14"/>
        <w:tabs>
          <w:tab w:val="right" w:leader="dot" w:pos="8297"/>
        </w:tabs>
        <w:rPr>
          <w:rFonts w:asciiTheme="minorHAnsi" w:hAnsiTheme="minorHAnsi" w:eastAsiaTheme="minorEastAsia" w:cstheme="minorBidi"/>
          <w:sz w:val="21"/>
          <w:szCs w:val="22"/>
        </w:rPr>
      </w:pPr>
      <w:r>
        <w:rPr>
          <w:rFonts w:eastAsia="仿宋"/>
          <w:b/>
          <w:bCs/>
          <w:caps/>
          <w:snapToGrid w:val="0"/>
          <w:color w:val="000000" w:themeColor="text1"/>
          <w:kern w:val="0"/>
          <w14:textFill>
            <w14:solidFill>
              <w14:schemeClr w14:val="tx1"/>
            </w14:solidFill>
          </w14:textFill>
        </w:rPr>
        <w:fldChar w:fldCharType="begin"/>
      </w:r>
      <w:r>
        <w:rPr>
          <w:rFonts w:eastAsia="仿宋"/>
          <w:color w:val="000000" w:themeColor="text1"/>
          <w14:textFill>
            <w14:solidFill>
              <w14:schemeClr w14:val="tx1"/>
            </w14:solidFill>
          </w14:textFill>
        </w:rPr>
        <w:instrText xml:space="preserve"> TOC \o "1-2" \h \z \u </w:instrText>
      </w:r>
      <w:r>
        <w:rPr>
          <w:rFonts w:eastAsia="仿宋"/>
          <w:b/>
          <w:bCs/>
          <w:caps/>
          <w:snapToGrid w:val="0"/>
          <w:color w:val="000000" w:themeColor="text1"/>
          <w:kern w:val="0"/>
          <w14:textFill>
            <w14:solidFill>
              <w14:schemeClr w14:val="tx1"/>
            </w14:solidFill>
          </w14:textFill>
        </w:rPr>
        <w:fldChar w:fldCharType="separate"/>
      </w:r>
      <w:r>
        <w:fldChar w:fldCharType="begin"/>
      </w:r>
      <w:r>
        <w:instrText xml:space="preserve"> HYPERLINK \l "_Toc236641259" </w:instrText>
      </w:r>
      <w:r>
        <w:fldChar w:fldCharType="separate"/>
      </w:r>
      <w:r>
        <w:rPr>
          <w:rStyle w:val="20"/>
        </w:rPr>
        <w:t>1. 总则</w:t>
      </w:r>
      <w:r>
        <w:tab/>
      </w:r>
      <w:r>
        <w:fldChar w:fldCharType="begin"/>
      </w:r>
      <w:r>
        <w:instrText xml:space="preserve"> PAGEREF _Toc236641259 \h </w:instrText>
      </w:r>
      <w:r>
        <w:fldChar w:fldCharType="separate"/>
      </w:r>
      <w:r>
        <w:t>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"_Toc236641260" </w:instrText>
      </w:r>
      <w:r>
        <w:fldChar w:fldCharType="separate"/>
      </w:r>
      <w:r>
        <w:rPr>
          <w:rStyle w:val="20"/>
        </w:rPr>
        <w:t>1.1 任务背景</w:t>
      </w:r>
      <w:r>
        <w:tab/>
      </w:r>
      <w:r>
        <w:fldChar w:fldCharType="begin"/>
      </w:r>
      <w:r>
        <w:instrText xml:space="preserve"> PAGEREF _Toc236641260 \h </w:instrText>
      </w:r>
      <w:r>
        <w:fldChar w:fldCharType="separate"/>
      </w:r>
      <w:r>
        <w:t>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"_Toc236641261" </w:instrText>
      </w:r>
      <w:r>
        <w:fldChar w:fldCharType="separate"/>
      </w:r>
      <w:r>
        <w:rPr>
          <w:rStyle w:val="20"/>
        </w:rPr>
        <w:t>1.2 编制依据</w:t>
      </w:r>
      <w:r>
        <w:tab/>
      </w:r>
      <w:r>
        <w:fldChar w:fldCharType="begin"/>
      </w:r>
      <w:r>
        <w:instrText xml:space="preserve"> PAGEREF _Toc236641261 \h </w:instrText>
      </w:r>
      <w:r>
        <w:fldChar w:fldCharType="separate"/>
      </w:r>
      <w:r>
        <w:t>4</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"_Toc236641262" </w:instrText>
      </w:r>
      <w:r>
        <w:fldChar w:fldCharType="separate"/>
      </w:r>
      <w:r>
        <w:rPr>
          <w:rStyle w:val="20"/>
        </w:rPr>
        <w:t>1.3 评价目的和原则</w:t>
      </w:r>
      <w:r>
        <w:tab/>
      </w:r>
      <w:r>
        <w:fldChar w:fldCharType="begin"/>
      </w:r>
      <w:r>
        <w:instrText xml:space="preserve"> PAGEREF _Toc236641262 \h </w:instrText>
      </w:r>
      <w:r>
        <w:fldChar w:fldCharType="separate"/>
      </w:r>
      <w:r>
        <w:t>11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"_Toc236641263" </w:instrText>
      </w:r>
      <w:r>
        <w:fldChar w:fldCharType="separate"/>
      </w:r>
      <w:r>
        <w:rPr>
          <w:rStyle w:val="20"/>
        </w:rPr>
        <w:t>1.4 评价时段和重点</w:t>
      </w:r>
      <w:r>
        <w:tab/>
      </w:r>
      <w:r>
        <w:fldChar w:fldCharType="begin"/>
      </w:r>
      <w:r>
        <w:instrText xml:space="preserve"> PAGEREF _Toc236641263 \h </w:instrText>
      </w:r>
      <w:r>
        <w:fldChar w:fldCharType="separate"/>
      </w:r>
      <w:r>
        <w:t>12</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"_Toc236641264" </w:instrText>
      </w:r>
      <w:r>
        <w:fldChar w:fldCharType="separate"/>
      </w:r>
      <w:r>
        <w:rPr>
          <w:rStyle w:val="20"/>
        </w:rPr>
        <w:t>1.5 评价工作流程</w:t>
      </w:r>
      <w:r>
        <w:tab/>
      </w:r>
      <w:r>
        <w:fldChar w:fldCharType="begin"/>
      </w:r>
      <w:r>
        <w:instrText xml:space="preserve"> PAGEREF _Toc236641264 \h </w:instrText>
      </w:r>
      <w:r>
        <w:fldChar w:fldCharType="separate"/>
      </w:r>
      <w:r>
        <w:t>13</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"_Toc236641265" </w:instrText>
      </w:r>
      <w:r>
        <w:fldChar w:fldCharType="separate"/>
      </w:r>
      <w:r>
        <w:rPr>
          <w:rStyle w:val="20"/>
        </w:rPr>
        <w:t>2. 规划分析</w:t>
      </w:r>
      <w:r>
        <w:tab/>
      </w:r>
      <w:r>
        <w:fldChar w:fldCharType="begin"/>
      </w:r>
      <w:r>
        <w:instrText xml:space="preserve"> PAGEREF _Toc236641265 \h </w:instrText>
      </w:r>
      <w:r>
        <w:fldChar w:fldCharType="separate"/>
      </w:r>
      <w:r>
        <w:t>15</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"_Toc236641266" </w:instrText>
      </w:r>
      <w:r>
        <w:fldChar w:fldCharType="separate"/>
      </w:r>
      <w:r>
        <w:rPr>
          <w:rStyle w:val="20"/>
        </w:rPr>
        <w:t>2.1 园区发展历程</w:t>
      </w:r>
      <w:r>
        <w:tab/>
      </w:r>
      <w:r>
        <w:fldChar w:fldCharType="begin"/>
      </w:r>
      <w:r>
        <w:instrText xml:space="preserve"> PAGEREF _Toc236641266 \h </w:instrText>
      </w:r>
      <w:r>
        <w:fldChar w:fldCharType="separate"/>
      </w:r>
      <w:r>
        <w:t>15</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"_Toc236641267" </w:instrText>
      </w:r>
      <w:r>
        <w:fldChar w:fldCharType="separate"/>
      </w:r>
      <w:r>
        <w:rPr>
          <w:rStyle w:val="20"/>
        </w:rPr>
        <w:t>2.2 扩区方案概述</w:t>
      </w:r>
      <w:r>
        <w:tab/>
      </w:r>
      <w:r>
        <w:fldChar w:fldCharType="begin"/>
      </w:r>
      <w:r>
        <w:instrText xml:space="preserve"> PAGEREF _Toc236641267 \h </w:instrText>
      </w:r>
      <w:r>
        <w:fldChar w:fldCharType="separate"/>
      </w:r>
      <w:r>
        <w:t>17</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"_Toc236641268" </w:instrText>
      </w:r>
      <w:r>
        <w:fldChar w:fldCharType="separate"/>
      </w:r>
      <w:r>
        <w:rPr>
          <w:rStyle w:val="20"/>
        </w:rPr>
        <w:t>2.3 规划概述</w:t>
      </w:r>
      <w:r>
        <w:tab/>
      </w:r>
      <w:r>
        <w:fldChar w:fldCharType="begin"/>
      </w:r>
      <w:r>
        <w:instrText xml:space="preserve"> PAGEREF _Toc236641268 \h </w:instrText>
      </w:r>
      <w:r>
        <w:fldChar w:fldCharType="separate"/>
      </w:r>
      <w:r>
        <w:t>18</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"_Toc236641269" </w:instrText>
      </w:r>
      <w:r>
        <w:fldChar w:fldCharType="separate"/>
      </w:r>
      <w:r>
        <w:rPr>
          <w:rStyle w:val="20"/>
        </w:rPr>
        <w:t>2.4 产业发展的重点和方向</w:t>
      </w:r>
      <w:r>
        <w:tab/>
      </w:r>
      <w:r>
        <w:fldChar w:fldCharType="begin"/>
      </w:r>
      <w:r>
        <w:instrText xml:space="preserve"> PAGEREF _Toc236641269 \h </w:instrText>
      </w:r>
      <w:r>
        <w:fldChar w:fldCharType="separate"/>
      </w:r>
      <w:r>
        <w:t>26</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"_Toc236641270" </w:instrText>
      </w:r>
      <w:r>
        <w:fldChar w:fldCharType="separate"/>
      </w:r>
      <w:r>
        <w:rPr>
          <w:rStyle w:val="20"/>
        </w:rPr>
        <w:t>2.5 规划协调性分析</w:t>
      </w:r>
      <w:r>
        <w:tab/>
      </w:r>
      <w:r>
        <w:fldChar w:fldCharType="begin"/>
      </w:r>
      <w:r>
        <w:instrText xml:space="preserve"> PAGEREF _Toc236641270 \h </w:instrText>
      </w:r>
      <w:r>
        <w:fldChar w:fldCharType="separate"/>
      </w:r>
      <w:r>
        <w:t>30</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"_Toc236641271" </w:instrText>
      </w:r>
      <w:r>
        <w:fldChar w:fldCharType="separate"/>
      </w:r>
      <w:r>
        <w:rPr>
          <w:rStyle w:val="20"/>
        </w:rPr>
        <w:t>3. 现状调查与评价</w:t>
      </w:r>
      <w:r>
        <w:tab/>
      </w:r>
      <w:r>
        <w:fldChar w:fldCharType="begin"/>
      </w:r>
      <w:r>
        <w:instrText xml:space="preserve"> PAGEREF _Toc236641271 \h </w:instrText>
      </w:r>
      <w:r>
        <w:fldChar w:fldCharType="separate"/>
      </w:r>
      <w:r>
        <w:t>58</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"_Toc236641272" </w:instrText>
      </w:r>
      <w:r>
        <w:fldChar w:fldCharType="separate"/>
      </w:r>
      <w:r>
        <w:rPr>
          <w:rStyle w:val="20"/>
        </w:rPr>
        <w:t>3.1 园区产业现状调查</w:t>
      </w:r>
      <w:r>
        <w:tab/>
      </w:r>
      <w:r>
        <w:fldChar w:fldCharType="begin"/>
      </w:r>
      <w:r>
        <w:instrText xml:space="preserve"> PAGEREF _Toc236641272 \h </w:instrText>
      </w:r>
      <w:r>
        <w:fldChar w:fldCharType="separate"/>
      </w:r>
      <w:r>
        <w:t>58</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"_Toc236641273" </w:instrText>
      </w:r>
      <w:r>
        <w:fldChar w:fldCharType="separate"/>
      </w:r>
      <w:r>
        <w:rPr>
          <w:rStyle w:val="20"/>
        </w:rPr>
        <w:t>3.2 上一轮规划实施情况</w:t>
      </w:r>
      <w:r>
        <w:tab/>
      </w:r>
      <w:r>
        <w:fldChar w:fldCharType="begin"/>
      </w:r>
      <w:r>
        <w:instrText xml:space="preserve"> PAGEREF _Toc236641273 \h </w:instrText>
      </w:r>
      <w:r>
        <w:fldChar w:fldCharType="separate"/>
      </w:r>
      <w:r>
        <w:t>58</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"_Toc236641274" </w:instrText>
      </w:r>
      <w:r>
        <w:fldChar w:fldCharType="separate"/>
      </w:r>
      <w:r>
        <w:rPr>
          <w:rStyle w:val="20"/>
        </w:rPr>
        <w:t>3.3 园区基础设施现状</w:t>
      </w:r>
      <w:r>
        <w:tab/>
      </w:r>
      <w:r>
        <w:fldChar w:fldCharType="begin"/>
      </w:r>
      <w:r>
        <w:instrText xml:space="preserve"> PAGEREF _Toc236641274 \h </w:instrText>
      </w:r>
      <w:r>
        <w:fldChar w:fldCharType="separate"/>
      </w:r>
      <w:r>
        <w:t>70</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"_Toc236641275" </w:instrText>
      </w:r>
      <w:r>
        <w:fldChar w:fldCharType="separate"/>
      </w:r>
      <w:r>
        <w:rPr>
          <w:rStyle w:val="20"/>
        </w:rPr>
        <w:t>3.4 拟扩区块现状调查</w:t>
      </w:r>
      <w:r>
        <w:tab/>
      </w:r>
      <w:r>
        <w:fldChar w:fldCharType="begin"/>
      </w:r>
      <w:r>
        <w:instrText xml:space="preserve"> PAGEREF _Toc236641275 \h </w:instrText>
      </w:r>
      <w:r>
        <w:fldChar w:fldCharType="separate"/>
      </w:r>
      <w:r>
        <w:t>76</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"_Toc236641276" </w:instrText>
      </w:r>
      <w:r>
        <w:fldChar w:fldCharType="separate"/>
      </w:r>
      <w:r>
        <w:rPr>
          <w:rStyle w:val="20"/>
        </w:rPr>
        <w:t>3.5 入园企业概况</w:t>
      </w:r>
      <w:r>
        <w:tab/>
      </w:r>
      <w:r>
        <w:fldChar w:fldCharType="begin"/>
      </w:r>
      <w:r>
        <w:instrText xml:space="preserve"> PAGEREF _Toc236641276 \h </w:instrText>
      </w:r>
      <w:r>
        <w:fldChar w:fldCharType="separate"/>
      </w:r>
      <w:r>
        <w:t>79</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"_Toc236641277" </w:instrText>
      </w:r>
      <w:r>
        <w:fldChar w:fldCharType="separate"/>
      </w:r>
      <w:r>
        <w:rPr>
          <w:rStyle w:val="20"/>
        </w:rPr>
        <w:t>3.6 环境管理状况</w:t>
      </w:r>
      <w:r>
        <w:tab/>
      </w:r>
      <w:r>
        <w:fldChar w:fldCharType="begin"/>
      </w:r>
      <w:r>
        <w:instrText xml:space="preserve"> PAGEREF _Toc236641277 \h </w:instrText>
      </w:r>
      <w:r>
        <w:fldChar w:fldCharType="separate"/>
      </w:r>
      <w:r>
        <w:t>79</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"_Toc236641278" </w:instrText>
      </w:r>
      <w:r>
        <w:fldChar w:fldCharType="separate"/>
      </w:r>
      <w:r>
        <w:rPr>
          <w:rStyle w:val="20"/>
        </w:rPr>
        <w:t>3.7 资源能源开发利用现状调查</w:t>
      </w:r>
      <w:r>
        <w:tab/>
      </w:r>
      <w:r>
        <w:fldChar w:fldCharType="begin"/>
      </w:r>
      <w:r>
        <w:instrText xml:space="preserve"> PAGEREF _Toc236641278 \h </w:instrText>
      </w:r>
      <w:r>
        <w:fldChar w:fldCharType="separate"/>
      </w:r>
      <w:r>
        <w:t>81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"_Toc236641279" </w:instrText>
      </w:r>
      <w:r>
        <w:fldChar w:fldCharType="separate"/>
      </w:r>
      <w:r>
        <w:rPr>
          <w:rStyle w:val="20"/>
        </w:rPr>
        <w:t>3.8 生态环境现状调查与评价</w:t>
      </w:r>
      <w:r>
        <w:tab/>
      </w:r>
      <w:r>
        <w:fldChar w:fldCharType="begin"/>
      </w:r>
      <w:r>
        <w:instrText xml:space="preserve"> PAGEREF _Toc236641279 \h </w:instrText>
      </w:r>
      <w:r>
        <w:fldChar w:fldCharType="separate"/>
      </w:r>
      <w:r>
        <w:t>83</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"_Toc236641280" </w:instrText>
      </w:r>
      <w:r>
        <w:fldChar w:fldCharType="separate"/>
      </w:r>
      <w:r>
        <w:rPr>
          <w:rStyle w:val="20"/>
        </w:rPr>
        <w:t>4. 不良环境影响减缓对策措施</w:t>
      </w:r>
      <w:r>
        <w:tab/>
      </w:r>
      <w:r>
        <w:fldChar w:fldCharType="begin"/>
      </w:r>
      <w:r>
        <w:instrText xml:space="preserve"> PAGEREF _Toc236641280 \h </w:instrText>
      </w:r>
      <w:r>
        <w:fldChar w:fldCharType="separate"/>
      </w:r>
      <w:r>
        <w:t>91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"_Toc236641281" </w:instrText>
      </w:r>
      <w:r>
        <w:fldChar w:fldCharType="separate"/>
      </w:r>
      <w:r>
        <w:rPr>
          <w:rStyle w:val="20"/>
        </w:rPr>
        <w:t>4.1 资源节约措施</w:t>
      </w:r>
      <w:r>
        <w:tab/>
      </w:r>
      <w:r>
        <w:fldChar w:fldCharType="begin"/>
      </w:r>
      <w:r>
        <w:instrText xml:space="preserve"> PAGEREF _Toc236641281 \h </w:instrText>
      </w:r>
      <w:r>
        <w:fldChar w:fldCharType="separate"/>
      </w:r>
      <w:r>
        <w:t>91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"_Toc236641282" </w:instrText>
      </w:r>
      <w:r>
        <w:fldChar w:fldCharType="separate"/>
      </w:r>
      <w:r>
        <w:rPr>
          <w:rStyle w:val="20"/>
        </w:rPr>
        <w:t>4.2 环境风险防范对策</w:t>
      </w:r>
      <w:r>
        <w:tab/>
      </w:r>
      <w:r>
        <w:fldChar w:fldCharType="begin"/>
      </w:r>
      <w:r>
        <w:instrText xml:space="preserve"> PAGEREF _Toc236641282 \h </w:instrText>
      </w:r>
      <w:r>
        <w:fldChar w:fldCharType="separate"/>
      </w:r>
      <w:r>
        <w:t>94</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"_Toc236641283" </w:instrText>
      </w:r>
      <w:r>
        <w:fldChar w:fldCharType="separate"/>
      </w:r>
      <w:r>
        <w:rPr>
          <w:rStyle w:val="20"/>
        </w:rPr>
        <w:t>4.3 生态环境保护与污染防治对策和措施</w:t>
      </w:r>
      <w:r>
        <w:tab/>
      </w:r>
      <w:r>
        <w:fldChar w:fldCharType="begin"/>
      </w:r>
      <w:r>
        <w:instrText xml:space="preserve"> PAGEREF _Toc236641283 \h </w:instrText>
      </w:r>
      <w:r>
        <w:fldChar w:fldCharType="separate"/>
      </w:r>
      <w:r>
        <w:t>106</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"_Toc236641284" </w:instrText>
      </w:r>
      <w:r>
        <w:fldChar w:fldCharType="separate"/>
      </w:r>
      <w:r>
        <w:rPr>
          <w:rStyle w:val="20"/>
        </w:rPr>
        <w:t>5. 环境影响跟踪评价与规划所包含建设项目环评要求</w:t>
      </w:r>
      <w:r>
        <w:tab/>
      </w:r>
      <w:r>
        <w:fldChar w:fldCharType="begin"/>
      </w:r>
      <w:r>
        <w:instrText xml:space="preserve"> PAGEREF _Toc236641284 \h </w:instrText>
      </w:r>
      <w:r>
        <w:fldChar w:fldCharType="separate"/>
      </w:r>
      <w:r>
        <w:t>123</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"_Toc236641285" </w:instrText>
      </w:r>
      <w:r>
        <w:fldChar w:fldCharType="separate"/>
      </w:r>
      <w:r>
        <w:rPr>
          <w:rStyle w:val="20"/>
        </w:rPr>
        <w:t>5.1 环境影响跟踪评价计划</w:t>
      </w:r>
      <w:r>
        <w:tab/>
      </w:r>
      <w:r>
        <w:fldChar w:fldCharType="begin"/>
      </w:r>
      <w:r>
        <w:instrText xml:space="preserve"> PAGEREF _Toc236641285 \h </w:instrText>
      </w:r>
      <w:r>
        <w:fldChar w:fldCharType="separate"/>
      </w:r>
      <w:r>
        <w:t>123</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"_Toc236641286" </w:instrText>
      </w:r>
      <w:r>
        <w:fldChar w:fldCharType="separate"/>
      </w:r>
      <w:r>
        <w:rPr>
          <w:rStyle w:val="20"/>
        </w:rPr>
        <w:t>5.2 规划所含建设项目环境影响评价要求</w:t>
      </w:r>
      <w:r>
        <w:tab/>
      </w:r>
      <w:r>
        <w:fldChar w:fldCharType="begin"/>
      </w:r>
      <w:r>
        <w:instrText xml:space="preserve"> PAGEREF _Toc236641286 \h </w:instrText>
      </w:r>
      <w:r>
        <w:fldChar w:fldCharType="separate"/>
      </w:r>
      <w:r>
        <w:t>125</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"_Toc236641287" </w:instrText>
      </w:r>
      <w:r>
        <w:fldChar w:fldCharType="separate"/>
      </w:r>
      <w:r>
        <w:rPr>
          <w:rStyle w:val="20"/>
        </w:rPr>
        <w:t>6. 环境管理与环境准入</w:t>
      </w:r>
      <w:r>
        <w:tab/>
      </w:r>
      <w:r>
        <w:fldChar w:fldCharType="begin"/>
      </w:r>
      <w:r>
        <w:instrText xml:space="preserve"> PAGEREF _Toc236641287 \h </w:instrText>
      </w:r>
      <w:r>
        <w:fldChar w:fldCharType="separate"/>
      </w:r>
      <w:r>
        <w:t>127</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"_Toc236641288" </w:instrText>
      </w:r>
      <w:r>
        <w:fldChar w:fldCharType="separate"/>
      </w:r>
      <w:r>
        <w:rPr>
          <w:rStyle w:val="20"/>
        </w:rPr>
        <w:t>6.1 环境管理</w:t>
      </w:r>
      <w:r>
        <w:tab/>
      </w:r>
      <w:r>
        <w:fldChar w:fldCharType="begin"/>
      </w:r>
      <w:r>
        <w:instrText xml:space="preserve"> PAGEREF _Toc236641288 \h </w:instrText>
      </w:r>
      <w:r>
        <w:fldChar w:fldCharType="separate"/>
      </w:r>
      <w:r>
        <w:t>127</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"_Toc236641289" </w:instrText>
      </w:r>
      <w:r>
        <w:fldChar w:fldCharType="separate"/>
      </w:r>
      <w:r>
        <w:rPr>
          <w:rStyle w:val="20"/>
        </w:rPr>
        <w:t>6.2 排污口规范化管理</w:t>
      </w:r>
      <w:r>
        <w:tab/>
      </w:r>
      <w:r>
        <w:fldChar w:fldCharType="begin"/>
      </w:r>
      <w:r>
        <w:instrText xml:space="preserve"> PAGEREF _Toc236641289 \h </w:instrText>
      </w:r>
      <w:r>
        <w:fldChar w:fldCharType="separate"/>
      </w:r>
      <w:r>
        <w:t>131</w:t>
      </w:r>
      <w:r>
        <w:fldChar w:fldCharType="end"/>
      </w:r>
      <w:r>
        <w:fldChar w:fldCharType="end"/>
      </w:r>
    </w:p>
    <w:p>
      <w:pPr>
        <w:pStyle w:val="15"/>
        <w:tabs>
          <w:tab w:val="right" w:leader="dot" w:pos="8297"/>
        </w:tabs>
        <w:ind w:left="480"/>
        <w:rPr>
          <w:rFonts w:asciiTheme="minorHAnsi" w:hAnsiTheme="minorHAnsi" w:eastAsiaTheme="minorEastAsia" w:cstheme="minorBidi"/>
          <w:sz w:val="21"/>
          <w:szCs w:val="22"/>
        </w:rPr>
      </w:pPr>
      <w:r>
        <w:fldChar w:fldCharType="begin"/>
      </w:r>
      <w:r>
        <w:instrText xml:space="preserve"> HYPERLINK \l "_Toc236641290" </w:instrText>
      </w:r>
      <w:r>
        <w:fldChar w:fldCharType="separate"/>
      </w:r>
      <w:r>
        <w:rPr>
          <w:rStyle w:val="20"/>
        </w:rPr>
        <w:t>6.3 生态环境分区管控要求</w:t>
      </w:r>
      <w:r>
        <w:tab/>
      </w:r>
      <w:r>
        <w:fldChar w:fldCharType="begin"/>
      </w:r>
      <w:r>
        <w:instrText xml:space="preserve"> PAGEREF _Toc236641290 \h </w:instrText>
      </w:r>
      <w:r>
        <w:fldChar w:fldCharType="separate"/>
      </w:r>
      <w:r>
        <w:t>132</w:t>
      </w:r>
      <w:r>
        <w:fldChar w:fldCharType="end"/>
      </w:r>
      <w:r>
        <w:fldChar w:fldCharType="end"/>
      </w:r>
    </w:p>
    <w:p>
      <w:pPr>
        <w:pStyle w:val="14"/>
        <w:tabs>
          <w:tab w:val="right" w:leader="dot" w:pos="8297"/>
        </w:tabs>
        <w:rPr>
          <w:rFonts w:asciiTheme="minorHAnsi" w:hAnsiTheme="minorHAnsi" w:eastAsiaTheme="minorEastAsia" w:cstheme="minorBidi"/>
          <w:sz w:val="21"/>
          <w:szCs w:val="22"/>
        </w:rPr>
      </w:pPr>
      <w:r>
        <w:fldChar w:fldCharType="begin"/>
      </w:r>
      <w:r>
        <w:instrText xml:space="preserve"> HYPERLINK \l "_Toc236641291" </w:instrText>
      </w:r>
      <w:r>
        <w:fldChar w:fldCharType="separate"/>
      </w:r>
      <w:r>
        <w:rPr>
          <w:rStyle w:val="20"/>
        </w:rPr>
        <w:t>7. 评价结论</w:t>
      </w:r>
      <w:r>
        <w:tab/>
      </w:r>
      <w:r>
        <w:fldChar w:fldCharType="begin"/>
      </w:r>
      <w:r>
        <w:instrText xml:space="preserve"> PAGEREF _Toc236641291 \h </w:instrText>
      </w:r>
      <w:r>
        <w:fldChar w:fldCharType="separate"/>
      </w:r>
      <w:r>
        <w:t>133</w:t>
      </w:r>
      <w:r>
        <w:fldChar w:fldCharType="end"/>
      </w:r>
      <w:r>
        <w:fldChar w:fldCharType="end"/>
      </w:r>
    </w:p>
    <w:p>
      <w:pPr>
        <w:rPr>
          <w:color w:val="000000" w:themeColor="text1"/>
          <w14:textFill>
            <w14:solidFill>
              <w14:schemeClr w14:val="tx1"/>
            </w14:solidFill>
          </w14:textFill>
        </w:rPr>
      </w:pPr>
      <w:r>
        <w:rPr>
          <w:rFonts w:eastAsia="仿宋"/>
          <w:color w:val="000000" w:themeColor="text1"/>
          <w14:textFill>
            <w14:solidFill>
              <w14:schemeClr w14:val="tx1"/>
            </w14:solidFill>
          </w14:textFill>
        </w:rPr>
        <w:fldChar w:fldCharType="end"/>
      </w:r>
    </w:p>
    <w:p>
      <w:pPr>
        <w:rPr>
          <w:color w:val="000000" w:themeColor="text1"/>
          <w14:textFill>
            <w14:solidFill>
              <w14:schemeClr w14:val="tx1"/>
            </w14:solidFill>
          </w14:textFill>
        </w:rPr>
        <w:sectPr>
          <w:pgSz w:w="11907" w:h="16840"/>
          <w:pgMar w:top="1440" w:right="1800" w:bottom="1440" w:left="1800" w:header="850" w:footer="850" w:gutter="0"/>
          <w:pgNumType w:fmt="upperRoman" w:start="1"/>
          <w:cols w:space="720" w:num="1"/>
          <w:docGrid w:type="lines" w:linePitch="326" w:charSpace="0"/>
        </w:sectPr>
      </w:pPr>
    </w:p>
    <w:p>
      <w:pPr>
        <w:pStyle w:val="28"/>
        <w:rPr>
          <w:color w:val="000000" w:themeColor="text1"/>
          <w14:textFill>
            <w14:solidFill>
              <w14:schemeClr w14:val="tx1"/>
            </w14:solidFill>
          </w14:textFill>
        </w:rPr>
      </w:pPr>
      <w:bookmarkStart w:id="0" w:name="_Toc236641259"/>
      <w:r>
        <w:rPr>
          <w:color w:val="000000" w:themeColor="text1"/>
          <w14:textFill>
            <w14:solidFill>
              <w14:schemeClr w14:val="tx1"/>
            </w14:solidFill>
          </w14:textFill>
        </w:rPr>
        <w:t>总则</w:t>
      </w:r>
      <w:bookmarkEnd w:id="0"/>
    </w:p>
    <w:p>
      <w:pPr>
        <w:pStyle w:val="30"/>
        <w:rPr>
          <w:color w:val="000000" w:themeColor="text1"/>
          <w14:textFill>
            <w14:solidFill>
              <w14:schemeClr w14:val="tx1"/>
            </w14:solidFill>
          </w14:textFill>
        </w:rPr>
      </w:pPr>
      <w:bookmarkStart w:id="1" w:name="_Toc236641260"/>
      <w:r>
        <w:rPr>
          <w:color w:val="000000" w:themeColor="text1"/>
          <w14:textFill>
            <w14:solidFill>
              <w14:schemeClr w14:val="tx1"/>
            </w14:solidFill>
          </w14:textFill>
        </w:rPr>
        <w:t>任务背景</w:t>
      </w:r>
      <w:bookmarkEnd w:id="1"/>
    </w:p>
    <w:p>
      <w:pPr>
        <w:pStyle w:val="32"/>
        <w:rPr>
          <w:color w:val="000000" w:themeColor="text1"/>
          <w14:textFill>
            <w14:solidFill>
              <w14:schemeClr w14:val="tx1"/>
            </w14:solidFill>
          </w14:textFill>
        </w:rPr>
      </w:pPr>
      <w:r>
        <w:rPr>
          <w:color w:val="000000" w:themeColor="text1"/>
          <w14:textFill>
            <w14:solidFill>
              <w14:schemeClr w14:val="tx1"/>
            </w14:solidFill>
          </w14:textFill>
        </w:rPr>
        <w:t>园区调扩区背景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沅陵产业开发区原为沅陵工业园，经2007年第三期沅陵县委常委会议批准同意，并设立沅陵工业园管理委员会。2010年8月，沅陵县人民政府将沅陵工业园更名为湖南沅陵新能源新材料产业园。</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2011年1月，原湖南省环保厅以（湘环评〔2011〕5号）《关于湖南沅陵新能源新材料产业园项目环境影响报告书的批复》通过了湖南沅陵新能源新材料产业园环评的审批，确定园区选址位于沅陵县凉水井镇松山边村至欧家湾村之间，规划建设用地3.0km2，园区主导产业定位为新能源、新材料产业以及农副食品加工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2012年12月，湖南省发展和改革委员会批准《关于沅陵工业集中区发展规划（2011-2020）的批复》（湘发改地区〔2012〕2035号），园区更名为沅陵工业集中区，规划范围为东至常吉高速公路，西至高二组，南至丁家偏组、欧家湾村，卑职高速公路连接线，面积为300</w:t>
      </w:r>
      <w:r>
        <w:rPr>
          <w:rFonts w:hint="eastAsia"/>
          <w:color w:val="000000" w:themeColor="text1"/>
          <w:lang w:val="en-US"/>
          <w14:textFill>
            <w14:solidFill>
              <w14:schemeClr w14:val="tx1"/>
            </w14:solidFill>
          </w14:textFill>
        </w:rPr>
        <w:t>公顷</w:t>
      </w:r>
      <w:r>
        <w:rPr>
          <w:rFonts w:hint="eastAsia"/>
          <w:color w:val="000000" w:themeColor="text1"/>
          <w14:textFill>
            <w14:solidFill>
              <w14:schemeClr w14:val="tx1"/>
            </w14:solidFill>
          </w14:textFill>
        </w:rPr>
        <w:t>。主导产业为新能源、新材料产业及农副食品加工业。该规划与原湖南省环保厅批复的规划（湘环评〔2011〕5号）一致。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2017年11月，根据湖南省发展和改革委员会《关于同意将辰州工业新区和麻溪铺有色金属产业园纳入沅陵工业集中区管理范畴的函》，同意将辰州工业新区和麻溪铺有色金属产业园纳入沅陵工业集中区管理范畴。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2018年，根据六部委公告2018年第4号《中国开发区审核公告目录》（2018年版），沅陵工业集中区核准面积为300.09</w:t>
      </w:r>
      <w:r>
        <w:rPr>
          <w:rFonts w:hint="eastAsia"/>
          <w:color w:val="000000" w:themeColor="text1"/>
          <w:lang w:val="en-US"/>
          <w14:textFill>
            <w14:solidFill>
              <w14:schemeClr w14:val="tx1"/>
            </w14:solidFill>
          </w14:textFill>
        </w:rPr>
        <w:t>公顷</w:t>
      </w:r>
      <w:r>
        <w:rPr>
          <w:rFonts w:hint="eastAsia"/>
          <w:color w:val="000000" w:themeColor="text1"/>
          <w14:textFill>
            <w14:solidFill>
              <w14:schemeClr w14:val="tx1"/>
            </w14:solidFill>
          </w14:textFill>
        </w:rPr>
        <w:t>，主导产业为新材料、电气机械、食品。</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2021年6月，湖南省发展和改革委员会发布《关于印发湖南省十四五产业园区发展规划的通知》（湘发改地区〔2021〕394号），沅陵工业集中区主导产业为电子信息，特色产业为有色金属。</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2021年7月，湖南省发展和改革委员会发布了《关于长沙临空产业集聚区等44家省级工业集中区更名的通知》（湘发改地区〔2021〕517号），沅陵工业集中区更名为沅陵产业开发区。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2019年6月园区开始开展跟踪环评工作，并于2021年12月10日通过了湖南省生态环境厅组织的专家评审，2022年5月5日取得湖南省生态环境厅《关于沅陵产业开发区环境影响跟踪评价工作意见的函》（湘环评函〔2022〕16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2022年8月湖南省发展和改革委员会、湖南省自然资源厅《关于发布沅陵产业开发区边界面积及四至范围的通知》（湘发改园区〔2022〕601号），沅陵产业开发区核定的边界范围总面积为339.28公顷，其中区块一东至杭瑞高速公路以西，南至丁家偏组、欧家湾村，西至高二组，北至杭瑞高速公路连接线，面积312.37公顷；区块二东至沃溪三组，南至沃溪二、三组，西至鱼儿山八组，北至沃溪二组，面积26.91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2024年5月，经报湖南省人民政府同意，湖南省发展和改革委员会印发《关于祁东高新技术产业开发区等4家产业园区调区的复函》（湘发改函〔2024〕</w:t>
      </w:r>
      <w:r>
        <w:rPr>
          <w:rFonts w:hint="eastAsia"/>
          <w:color w:val="000000" w:themeColor="text1"/>
          <w:lang w:val="en-US"/>
          <w14:textFill>
            <w14:solidFill>
              <w14:schemeClr w14:val="tx1"/>
            </w14:solidFill>
          </w14:textFill>
        </w:rPr>
        <w:t>21</w:t>
      </w:r>
      <w:r>
        <w:rPr>
          <w:rFonts w:hint="eastAsia"/>
          <w:color w:val="000000" w:themeColor="text1"/>
          <w14:textFill>
            <w14:solidFill>
              <w14:schemeClr w14:val="tx1"/>
            </w14:solidFill>
          </w14:textFill>
        </w:rPr>
        <w:t>号）同意沅陵产业开发区调区方案，沅陵产业开发区调区后总面积为210.14公顷，包含两个区块，区块一面积183.23公顷，区块二26.91面积公顷。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2024年11月，湖南省发展和改革委员会下发《关于同意沅陵产业开发区开展扩区前期工作的函》（湘发改函〔2024〕59号），沅陵产业开发区满足《湖南省开发区调区扩区和退出管理办法》《规范产业园区扩区工作实施方案》的相关要求，相关指标基本符合开展扩区的条件，同意沅陵产业开发区开展扩区前期工作。</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在办理扩区用地审核的过程中，恰逢新一轮国家开发区目录修订，</w:t>
      </w:r>
      <w:r>
        <w:rPr>
          <w:rFonts w:hint="eastAsia"/>
          <w:color w:val="000000" w:themeColor="text1"/>
          <w14:textFill>
            <w14:solidFill>
              <w14:schemeClr w14:val="tx1"/>
            </w14:solidFill>
          </w14:textFill>
        </w:rPr>
        <w:t>修订工作中核定沅陵产业开发区边界范围总面积189.69公顷。</w:t>
      </w:r>
      <w:r>
        <w:rPr>
          <w:rFonts w:hint="eastAsia"/>
          <w:color w:val="000000" w:themeColor="text1"/>
          <w:lang w:val="en-US"/>
          <w14:textFill>
            <w14:solidFill>
              <w14:schemeClr w14:val="tx1"/>
            </w14:solidFill>
          </w14:textFill>
        </w:rPr>
        <w:t>2026年7月，</w:t>
      </w:r>
      <w:r>
        <w:rPr>
          <w:rFonts w:hint="eastAsia"/>
          <w:color w:val="000000" w:themeColor="text1"/>
          <w14:textFill>
            <w14:solidFill>
              <w14:schemeClr w14:val="tx1"/>
            </w14:solidFill>
          </w14:textFill>
        </w:rPr>
        <w:t>湖南省自然资源厅以《关于沅陵产业开发区扩区用地审核意见的函》划定了园区扩区范围。</w:t>
      </w:r>
      <w:r>
        <w:rPr>
          <w:rFonts w:hint="eastAsia"/>
          <w:color w:val="000000" w:themeColor="text1"/>
          <w:lang w:val="en-US"/>
          <w14:textFill>
            <w14:solidFill>
              <w14:schemeClr w14:val="tx1"/>
            </w14:solidFill>
          </w14:textFill>
        </w:rPr>
        <w:t>在核定面积189.69公顷的基础上，同意将 30.07公顷依扩区程序调入四至边界范围，扩区后园区总面积为 219.76公顷。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根据该方案，汇总园区扩区方案详见下表。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扩区方案一览表</w:t>
      </w:r>
    </w:p>
    <w:tbl>
      <w:tblPr>
        <w:tblStyle w:val="40"/>
        <w:tblW w:w="852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278"/>
        <w:gridCol w:w="1916"/>
        <w:gridCol w:w="2129"/>
        <w:gridCol w:w="213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67" w:type="dxa"/>
            <w:vAlign w:val="center"/>
          </w:tcPr>
          <w:p>
            <w:pPr>
              <w:pStyle w:val="36"/>
              <w:rPr>
                <w:color w:val="000000" w:themeColor="text1"/>
                <w:kern w:val="2"/>
                <w14:textFill>
                  <w14:solidFill>
                    <w14:schemeClr w14:val="tx1"/>
                  </w14:solidFill>
                </w14:textFill>
              </w:rPr>
            </w:pPr>
            <w:bookmarkStart w:id="2" w:name="_Hlk184737919"/>
            <w:r>
              <w:rPr>
                <w:rFonts w:hint="eastAsia"/>
                <w:color w:val="000000" w:themeColor="text1"/>
                <w:kern w:val="2"/>
                <w14:textFill>
                  <w14:solidFill>
                    <w14:schemeClr w14:val="tx1"/>
                  </w14:solidFill>
                </w14:textFill>
              </w:rPr>
              <w:t>区块名称</w:t>
            </w:r>
          </w:p>
        </w:tc>
        <w:tc>
          <w:tcPr>
            <w:tcW w:w="1278"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别名</w:t>
            </w:r>
          </w:p>
        </w:tc>
        <w:tc>
          <w:tcPr>
            <w:tcW w:w="1916"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核准面积（公顷）</w:t>
            </w:r>
          </w:p>
        </w:tc>
        <w:tc>
          <w:tcPr>
            <w:tcW w:w="2129"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拟新扩面积（公顷）</w:t>
            </w:r>
          </w:p>
        </w:tc>
        <w:tc>
          <w:tcPr>
            <w:tcW w:w="2130"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扩区后面积（公顷）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67"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区块一</w:t>
            </w:r>
          </w:p>
        </w:tc>
        <w:tc>
          <w:tcPr>
            <w:tcW w:w="1278"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凉水井片区</w:t>
            </w:r>
          </w:p>
        </w:tc>
        <w:tc>
          <w:tcPr>
            <w:tcW w:w="1916"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162.78</w:t>
            </w:r>
          </w:p>
        </w:tc>
        <w:tc>
          <w:tcPr>
            <w:tcW w:w="2129"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0</w:t>
            </w:r>
          </w:p>
        </w:tc>
        <w:tc>
          <w:tcPr>
            <w:tcW w:w="2130"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162.78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67"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区块二</w:t>
            </w:r>
          </w:p>
        </w:tc>
        <w:tc>
          <w:tcPr>
            <w:tcW w:w="1278"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官庄片区</w:t>
            </w:r>
          </w:p>
        </w:tc>
        <w:tc>
          <w:tcPr>
            <w:tcW w:w="1916"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26.91</w:t>
            </w:r>
          </w:p>
        </w:tc>
        <w:tc>
          <w:tcPr>
            <w:tcW w:w="2129"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12.18</w:t>
            </w:r>
          </w:p>
        </w:tc>
        <w:tc>
          <w:tcPr>
            <w:tcW w:w="2130"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39.09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67"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区块三</w:t>
            </w:r>
          </w:p>
        </w:tc>
        <w:tc>
          <w:tcPr>
            <w:tcW w:w="1278"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麻溪铺片区</w:t>
            </w:r>
          </w:p>
        </w:tc>
        <w:tc>
          <w:tcPr>
            <w:tcW w:w="1916"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w:t>
            </w:r>
          </w:p>
        </w:tc>
        <w:tc>
          <w:tcPr>
            <w:tcW w:w="2129"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17.89</w:t>
            </w:r>
          </w:p>
        </w:tc>
        <w:tc>
          <w:tcPr>
            <w:tcW w:w="2130"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17.89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067"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合计</w:t>
            </w:r>
          </w:p>
        </w:tc>
        <w:tc>
          <w:tcPr>
            <w:tcW w:w="1278" w:type="dxa"/>
            <w:vAlign w:val="center"/>
          </w:tcPr>
          <w:p>
            <w:pPr>
              <w:pStyle w:val="36"/>
              <w:rPr>
                <w:color w:val="000000" w:themeColor="text1"/>
                <w:kern w:val="2"/>
                <w14:textFill>
                  <w14:solidFill>
                    <w14:schemeClr w14:val="tx1"/>
                  </w14:solidFill>
                </w14:textFill>
              </w:rPr>
            </w:pPr>
          </w:p>
        </w:tc>
        <w:tc>
          <w:tcPr>
            <w:tcW w:w="1916"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189.69</w:t>
            </w:r>
          </w:p>
        </w:tc>
        <w:tc>
          <w:tcPr>
            <w:tcW w:w="2129"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30.07</w:t>
            </w:r>
          </w:p>
        </w:tc>
        <w:tc>
          <w:tcPr>
            <w:tcW w:w="2130" w:type="dxa"/>
            <w:vAlign w:val="center"/>
          </w:tcPr>
          <w:p>
            <w:pPr>
              <w:pStyle w:val="36"/>
              <w:rPr>
                <w:color w:val="000000" w:themeColor="text1"/>
                <w:kern w:val="2"/>
                <w14:textFill>
                  <w14:solidFill>
                    <w14:schemeClr w14:val="tx1"/>
                  </w14:solidFill>
                </w14:textFill>
              </w:rPr>
            </w:pPr>
            <w:r>
              <w:rPr>
                <w:rFonts w:hint="eastAsia"/>
                <w:color w:val="000000" w:themeColor="text1"/>
                <w:kern w:val="2"/>
                <w14:textFill>
                  <w14:solidFill>
                    <w14:schemeClr w14:val="tx1"/>
                  </w14:solidFill>
                </w14:textFill>
              </w:rPr>
              <w:t>219.76</w:t>
            </w:r>
          </w:p>
        </w:tc>
      </w:tr>
      <w:bookmarkEnd w:id="2"/>
    </w:tbl>
    <w:p>
      <w:pPr>
        <w:pStyle w:val="32"/>
        <w:rPr>
          <w:color w:val="000000" w:themeColor="text1"/>
          <w14:textFill>
            <w14:solidFill>
              <w14:schemeClr w14:val="tx1"/>
            </w14:solidFill>
          </w14:textFill>
        </w:rPr>
      </w:pPr>
      <w:r>
        <w:rPr>
          <w:color w:val="000000" w:themeColor="text1"/>
          <w14:textFill>
            <w14:solidFill>
              <w14:schemeClr w14:val="tx1"/>
            </w14:solidFill>
          </w14:textFill>
        </w:rPr>
        <w:t>任务由来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沅陵产业开发区管委会委托规划编制机构按片区编制了控制性详细规划，汇总形成《沅陵产业开发区控制性详细规划》。根据《关于进一步加强产业园区规划环境影响评价工作的意见》（环环评</w:t>
      </w:r>
      <w:r>
        <w:rPr>
          <w:rFonts w:hint="eastAsia"/>
          <w:color w:val="000000" w:themeColor="text1"/>
          <w:lang w:val="en-US"/>
          <w14:textFill>
            <w14:solidFill>
              <w14:schemeClr w14:val="tx1"/>
            </w14:solidFill>
          </w14:textFill>
        </w:rPr>
        <w:t>〔2020〕65号</w:t>
      </w:r>
      <w:r>
        <w:rPr>
          <w:rFonts w:hint="eastAsia"/>
          <w:color w:val="000000" w:themeColor="text1"/>
          <w14:textFill>
            <w14:solidFill>
              <w14:schemeClr w14:val="tx1"/>
            </w14:solidFill>
          </w14:textFill>
        </w:rPr>
        <w:t>），编制产业园区开发建设规划时应依法开展规划环评。为此沅陵产业开发区管委会委托我单位编制规划环境影响报告书。我单位接受委托后，组成项目组，进行现场勘察、调研，并收集了相关资料。按照《规划环境影响评价技术导则 总纲》（HJ130-2019）、《规划环境影响评价技术导则 产业园区》（HJ131-2021）等技术导则规定的原则、方法、内容及要求，在对沅陵产业开发区发展历程、环境保护工作和环境影响进行回顾的基础上，围绕发展规模和布局合理性两大要素，对规划实施可能产生的环境影响进行评价，以“资源利用上线、环境质量底线、生态保护红线和产业准入负面清单”为手段，强化空间、总量、准入环境管理，从环境保护角度为开发区后续发展提出指导意见。</w:t>
      </w:r>
    </w:p>
    <w:p>
      <w:pPr>
        <w:pStyle w:val="30"/>
        <w:rPr>
          <w:color w:val="000000" w:themeColor="text1"/>
          <w14:textFill>
            <w14:solidFill>
              <w14:schemeClr w14:val="tx1"/>
            </w14:solidFill>
          </w14:textFill>
        </w:rPr>
      </w:pPr>
      <w:bookmarkStart w:id="3" w:name="_Toc236641261"/>
      <w:r>
        <w:rPr>
          <w:rStyle w:val="35"/>
          <w:b/>
          <w:snapToGrid/>
          <w:color w:val="000000" w:themeColor="text1"/>
          <w:szCs w:val="32"/>
          <w14:textFill>
            <w14:solidFill>
              <w14:schemeClr w14:val="tx1"/>
            </w14:solidFill>
          </w14:textFill>
        </w:rPr>
        <w:t>编制依据</w:t>
      </w:r>
      <w:bookmarkEnd w:id="3"/>
    </w:p>
    <w:p>
      <w:pPr>
        <w:pStyle w:val="32"/>
        <w:rPr>
          <w:color w:val="000000" w:themeColor="text1"/>
          <w14:textFill>
            <w14:solidFill>
              <w14:schemeClr w14:val="tx1"/>
            </w14:solidFill>
          </w14:textFill>
        </w:rPr>
      </w:pPr>
      <w:r>
        <w:rPr>
          <w:color w:val="000000" w:themeColor="text1"/>
          <w14:textFill>
            <w14:solidFill>
              <w14:schemeClr w14:val="tx1"/>
            </w14:solidFill>
          </w14:textFill>
        </w:rPr>
        <w:t>国家相关法律法规、条例及部门规章</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w:t>
      </w:r>
      <w:r>
        <w:rPr>
          <w:rFonts w:hint="eastAsia"/>
          <w:snapToGrid/>
          <w:color w:val="000000" w:themeColor="text1"/>
          <w:lang w:val="en-US"/>
          <w14:textFill>
            <w14:solidFill>
              <w14:schemeClr w14:val="tx1"/>
            </w14:solidFill>
          </w14:textFill>
        </w:rPr>
        <w:t>生态环境法典</w:t>
      </w:r>
      <w:r>
        <w:rPr>
          <w:snapToGrid/>
          <w:color w:val="000000" w:themeColor="text1"/>
          <w14:textFill>
            <w14:solidFill>
              <w14:schemeClr w14:val="tx1"/>
            </w14:solidFill>
          </w14:textFill>
        </w:rPr>
        <w:t>》，20</w:t>
      </w:r>
      <w:r>
        <w:rPr>
          <w:rFonts w:hint="eastAsia"/>
          <w:snapToGrid/>
          <w:color w:val="000000" w:themeColor="text1"/>
          <w:lang w:val="en-US"/>
          <w14:textFill>
            <w14:solidFill>
              <w14:schemeClr w14:val="tx1"/>
            </w14:solidFill>
          </w14:textFill>
        </w:rPr>
        <w:t>26</w:t>
      </w:r>
      <w:r>
        <w:rPr>
          <w:snapToGrid/>
          <w:color w:val="000000" w:themeColor="text1"/>
          <w14:textFill>
            <w14:solidFill>
              <w14:schemeClr w14:val="tx1"/>
            </w14:solidFill>
          </w14:textFill>
        </w:rPr>
        <w:t>年</w:t>
      </w:r>
      <w:r>
        <w:rPr>
          <w:rFonts w:hint="eastAsia"/>
          <w:snapToGrid/>
          <w:color w:val="000000" w:themeColor="text1"/>
          <w:lang w:val="en-US"/>
          <w14:textFill>
            <w14:solidFill>
              <w14:schemeClr w14:val="tx1"/>
            </w14:solidFill>
          </w14:textFill>
        </w:rPr>
        <w:t>8</w:t>
      </w:r>
      <w:r>
        <w:rPr>
          <w:snapToGrid/>
          <w:color w:val="000000" w:themeColor="text1"/>
          <w14:textFill>
            <w14:solidFill>
              <w14:schemeClr w14:val="tx1"/>
            </w14:solidFill>
          </w14:textFill>
        </w:rPr>
        <w:t>月</w:t>
      </w:r>
      <w:r>
        <w:rPr>
          <w:rFonts w:hint="eastAsia"/>
          <w:snapToGrid/>
          <w:color w:val="000000" w:themeColor="text1"/>
          <w:lang w:val="en-US"/>
          <w14:textFill>
            <w14:solidFill>
              <w14:schemeClr w14:val="tx1"/>
            </w14:solidFill>
          </w14:textFill>
        </w:rPr>
        <w:t>15</w:t>
      </w:r>
      <w:r>
        <w:rPr>
          <w:snapToGrid/>
          <w:color w:val="000000" w:themeColor="text1"/>
          <w14:textFill>
            <w14:solidFill>
              <w14:schemeClr w14:val="tx1"/>
            </w14:solidFill>
          </w14:textFill>
        </w:rPr>
        <w:t>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《中华人民共和国城乡规划法》，2015年4月24日起施行，2019年4月23日修订；</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《中华人民共和国节约能源法》（2018年修正），2018年10月26日起施行；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《中华人民共和国循环经济促进法》（2018年修正），2018年10月26日起施行；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《中华人民共和国野生动物保护法》（20</w:t>
      </w:r>
      <w:r>
        <w:rPr>
          <w:rFonts w:hint="eastAsia"/>
          <w:snapToGrid/>
          <w:color w:val="000000" w:themeColor="text1"/>
          <w14:textFill>
            <w14:solidFill>
              <w14:schemeClr w14:val="tx1"/>
            </w14:solidFill>
          </w14:textFill>
        </w:rPr>
        <w:t>22</w:t>
      </w:r>
      <w:r>
        <w:rPr>
          <w:snapToGrid/>
          <w:color w:val="000000" w:themeColor="text1"/>
          <w14:textFill>
            <w14:solidFill>
              <w14:schemeClr w14:val="tx1"/>
            </w14:solidFill>
          </w14:textFill>
        </w:rPr>
        <w:t>年修正），20</w:t>
      </w:r>
      <w:r>
        <w:rPr>
          <w:rFonts w:hint="eastAsia"/>
          <w:snapToGrid/>
          <w:color w:val="000000" w:themeColor="text1"/>
          <w14:textFill>
            <w14:solidFill>
              <w14:schemeClr w14:val="tx1"/>
            </w14:solidFill>
          </w14:textFill>
        </w:rPr>
        <w:t>22</w:t>
      </w:r>
      <w:r>
        <w:rPr>
          <w:snapToGrid/>
          <w:color w:val="000000" w:themeColor="text1"/>
          <w14:textFill>
            <w14:solidFill>
              <w14:schemeClr w14:val="tx1"/>
            </w14:solidFill>
          </w14:textFill>
        </w:rPr>
        <w:t>年</w:t>
      </w:r>
      <w:r>
        <w:rPr>
          <w:rFonts w:hint="eastAsia"/>
          <w:snapToGrid/>
          <w:color w:val="000000" w:themeColor="text1"/>
          <w14:textFill>
            <w14:solidFill>
              <w14:schemeClr w14:val="tx1"/>
            </w14:solidFill>
          </w14:textFill>
        </w:rPr>
        <w:t>12</w:t>
      </w:r>
      <w:r>
        <w:rPr>
          <w:snapToGrid/>
          <w:color w:val="000000" w:themeColor="text1"/>
          <w14:textFill>
            <w14:solidFill>
              <w14:schemeClr w14:val="tx1"/>
            </w14:solidFill>
          </w14:textFill>
        </w:rPr>
        <w:t>月</w:t>
      </w:r>
      <w:r>
        <w:rPr>
          <w:rFonts w:hint="eastAsia"/>
          <w:snapToGrid/>
          <w:color w:val="000000" w:themeColor="text1"/>
          <w14:textFill>
            <w14:solidFill>
              <w14:schemeClr w14:val="tx1"/>
            </w14:solidFill>
          </w14:textFill>
        </w:rPr>
        <w:t>30</w:t>
      </w:r>
      <w:r>
        <w:rPr>
          <w:snapToGrid/>
          <w:color w:val="000000" w:themeColor="text1"/>
          <w14:textFill>
            <w14:solidFill>
              <w14:schemeClr w14:val="tx1"/>
            </w14:solidFill>
          </w14:textFill>
        </w:rPr>
        <w:t>日起施行；</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《中华人民共和国文物保护法》（</w:t>
      </w:r>
      <w:r>
        <w:rPr>
          <w:snapToGrid/>
          <w:color w:val="000000" w:themeColor="text1"/>
          <w14:textFill>
            <w14:solidFill>
              <w14:schemeClr w14:val="tx1"/>
            </w14:solidFill>
          </w14:textFill>
        </w:rPr>
        <w:t>2017</w:t>
      </w:r>
      <w:r>
        <w:rPr>
          <w:rFonts w:hint="eastAsia"/>
          <w:snapToGrid/>
          <w:color w:val="000000" w:themeColor="text1"/>
          <w14:textFill>
            <w14:solidFill>
              <w14:schemeClr w14:val="tx1"/>
            </w14:solidFill>
          </w14:textFill>
        </w:rPr>
        <w:t>年</w:t>
      </w:r>
      <w:r>
        <w:rPr>
          <w:snapToGrid/>
          <w:color w:val="000000" w:themeColor="text1"/>
          <w14:textFill>
            <w14:solidFill>
              <w14:schemeClr w14:val="tx1"/>
            </w14:solidFill>
          </w14:textFill>
        </w:rPr>
        <w:t>修正</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2017</w:t>
      </w:r>
      <w:r>
        <w:rPr>
          <w:rFonts w:hint="eastAsia"/>
          <w:snapToGrid/>
          <w:color w:val="000000" w:themeColor="text1"/>
          <w14:textFill>
            <w14:solidFill>
              <w14:schemeClr w14:val="tx1"/>
            </w14:solidFill>
          </w14:textFill>
        </w:rPr>
        <w:t>年1</w:t>
      </w:r>
      <w:r>
        <w:rPr>
          <w:snapToGrid/>
          <w:color w:val="000000" w:themeColor="text1"/>
          <w14:textFill>
            <w14:solidFill>
              <w14:schemeClr w14:val="tx1"/>
            </w14:solidFill>
          </w14:textFill>
        </w:rPr>
        <w:t>1</w:t>
      </w:r>
      <w:r>
        <w:rPr>
          <w:rFonts w:hint="eastAsia"/>
          <w:snapToGrid/>
          <w:color w:val="000000" w:themeColor="text1"/>
          <w14:textFill>
            <w14:solidFill>
              <w14:schemeClr w14:val="tx1"/>
            </w14:solidFill>
          </w14:textFill>
        </w:rPr>
        <w:t>月5日起施行；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《中华人民共和国水土保持法》（2010年修正），2010年12月25日</w:t>
      </w:r>
      <w:r>
        <w:rPr>
          <w:rFonts w:hint="eastAsia"/>
          <w:snapToGrid/>
          <w:color w:val="000000" w:themeColor="text1"/>
          <w14:textFill>
            <w14:solidFill>
              <w14:schemeClr w14:val="tx1"/>
            </w14:solidFill>
          </w14:textFill>
        </w:rPr>
        <w:t>起施行</w:t>
      </w:r>
      <w:r>
        <w:rPr>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《中华人民共和国水法》，2016年9月1日起施行；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《中华人民共和国土地管理法》（201</w:t>
      </w:r>
      <w:r>
        <w:rPr>
          <w:rFonts w:hint="eastAsia"/>
          <w:snapToGrid/>
          <w:color w:val="000000" w:themeColor="text1"/>
          <w14:textFill>
            <w14:solidFill>
              <w14:schemeClr w14:val="tx1"/>
            </w14:solidFill>
          </w14:textFill>
        </w:rPr>
        <w:t>9</w:t>
      </w:r>
      <w:r>
        <w:rPr>
          <w:snapToGrid/>
          <w:color w:val="000000" w:themeColor="text1"/>
          <w14:textFill>
            <w14:solidFill>
              <w14:schemeClr w14:val="tx1"/>
            </w14:solidFill>
          </w14:textFill>
        </w:rPr>
        <w:t>年修正），20</w:t>
      </w:r>
      <w:r>
        <w:rPr>
          <w:rFonts w:hint="eastAsia"/>
          <w:snapToGrid/>
          <w:color w:val="000000" w:themeColor="text1"/>
          <w14:textFill>
            <w14:solidFill>
              <w14:schemeClr w14:val="tx1"/>
            </w14:solidFill>
          </w14:textFill>
        </w:rPr>
        <w:t>19</w:t>
      </w:r>
      <w:r>
        <w:rPr>
          <w:snapToGrid/>
          <w:color w:val="000000" w:themeColor="text1"/>
          <w14:textFill>
            <w14:solidFill>
              <w14:schemeClr w14:val="tx1"/>
            </w14:solidFill>
          </w14:textFill>
        </w:rPr>
        <w:t>年8月</w:t>
      </w:r>
      <w:r>
        <w:rPr>
          <w:rFonts w:hint="eastAsia"/>
          <w:snapToGrid/>
          <w:color w:val="000000" w:themeColor="text1"/>
          <w14:textFill>
            <w14:solidFill>
              <w14:schemeClr w14:val="tx1"/>
            </w14:solidFill>
          </w14:textFill>
        </w:rPr>
        <w:t>26</w:t>
      </w:r>
      <w:r>
        <w:rPr>
          <w:snapToGrid/>
          <w:color w:val="000000" w:themeColor="text1"/>
          <w14:textFill>
            <w14:solidFill>
              <w14:schemeClr w14:val="tx1"/>
            </w14:solidFill>
          </w14:textFill>
        </w:rPr>
        <w:t>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《中华人民共和国长江保护法》，2021年3月1日起施行；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《规划环境影响评价条例》，2009年10月1日起施行；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中华人民共和国</w:t>
      </w:r>
      <w:r>
        <w:rPr>
          <w:snapToGrid/>
          <w:color w:val="000000" w:themeColor="text1"/>
          <w14:textFill>
            <w14:solidFill>
              <w14:schemeClr w14:val="tx1"/>
            </w14:solidFill>
          </w14:textFill>
        </w:rPr>
        <w:t>基本农田保护条例》，2011年1月8日起施行；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《地下水管理条例》，2021年12月1日起施行；</w:t>
      </w:r>
    </w:p>
    <w:p>
      <w:pPr>
        <w:pStyle w:val="51"/>
        <w:numPr>
          <w:ilvl w:val="0"/>
          <w:numId w:val="6"/>
        </w:numPr>
        <w:ind w:firstLineChars="0"/>
        <w:rPr>
          <w:color w:val="000000" w:themeColor="text1"/>
          <w14:textFill>
            <w14:solidFill>
              <w14:schemeClr w14:val="tx1"/>
            </w14:solidFill>
          </w14:textFill>
        </w:rPr>
      </w:pPr>
      <w:r>
        <w:rPr>
          <w:snapToGrid/>
          <w:color w:val="000000" w:themeColor="text1"/>
          <w14:textFill>
            <w14:solidFill>
              <w14:schemeClr w14:val="tx1"/>
            </w14:solidFill>
          </w14:textFill>
        </w:rPr>
        <w:t>《“十四五”土壤、地下水和农村生态环境保护规划》</w:t>
      </w:r>
      <w:r>
        <w:rPr>
          <w:color w:val="000000" w:themeColor="text1"/>
          <w14:textFill>
            <w14:solidFill>
              <w14:schemeClr w14:val="tx1"/>
            </w14:solidFill>
          </w14:textFill>
        </w:rPr>
        <w:t>（环土壤〔2021〕120号）；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《产业政策结构调整指导目录》（20</w:t>
      </w:r>
      <w:r>
        <w:rPr>
          <w:rFonts w:hint="eastAsia"/>
          <w:snapToGrid/>
          <w:color w:val="000000" w:themeColor="text1"/>
          <w14:textFill>
            <w14:solidFill>
              <w14:schemeClr w14:val="tx1"/>
            </w14:solidFill>
          </w14:textFill>
        </w:rPr>
        <w:t>24版</w:t>
      </w:r>
      <w:r>
        <w:rPr>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《中国开发区审核公告目录（2018年版）》（发改委公告〔2018〕第4号）；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《水污染防治行动计划》（国发〔2015〕17号）；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《大气污染防治行动计划》（国发〔2013〕37号）；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《土壤污染防治行动计划》（国发〔2016〕31号）；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lang w:val="en-US"/>
          <w14:textFill>
            <w14:solidFill>
              <w14:schemeClr w14:val="tx1"/>
            </w14:solidFill>
          </w14:textFill>
        </w:rPr>
        <w:t>《土壤污染源头防控行动计划》（环土壤〔2024〕80号）；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《“十四五”噪声污染防治行动计划》（环大气</w:t>
      </w:r>
      <w:r>
        <w:rPr>
          <w:snapToGrid/>
          <w:color w:val="000000" w:themeColor="text1"/>
          <w14:textFill>
            <w14:solidFill>
              <w14:schemeClr w14:val="tx1"/>
            </w14:solidFill>
          </w14:textFill>
        </w:rPr>
        <w:t>〔20</w:t>
      </w:r>
      <w:r>
        <w:rPr>
          <w:rFonts w:hint="eastAsia"/>
          <w:snapToGrid/>
          <w:color w:val="000000" w:themeColor="text1"/>
          <w14:textFill>
            <w14:solidFill>
              <w14:schemeClr w14:val="tx1"/>
            </w14:solidFill>
          </w14:textFill>
        </w:rPr>
        <w:t>23</w:t>
      </w:r>
      <w:r>
        <w:rPr>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号</w:t>
      </w:r>
      <w:r>
        <w:rPr>
          <w:rFonts w:hint="eastAsia"/>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《关于落实</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水污染防治行动计划</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实施区域差别化环境准入的指导意见》环环评〔2016〕190号；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《关于落实大气污染防治行动计划严格环境影响评价准入的通知》（环办〔2014〕30号）2014年3月25日；</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《国家发展改革委、财政部关于推进园区循环化改造的意见》（发改环资〔2012〕765号）；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《关于加强规划环境影响评价与建设项目环境影响评价联动工作的意见》（环发〔2015〕178号），2015年12月30日；</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《关于进一步加强产业园区规划环境影响评价工作的意见》（环环评〔2020〕65号）；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《关于进一步加强环境影响评价管理防范环境风险的通知》（环发〔2012〕77号）；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《关于切实加强风险防范严格环境影响评价管理的通知》（环发〔2012〕98号）；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《关于规划环境影响评价加强空间管制、总量管控和环境准入的指导意见（试行）》（环办环评〔2016〕14号），2016年2月24日；</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《关于开展产业园区规划环境影响评价清单式管理试点工作的通知》（环办环评〔2016〕61号），2016年6月1日；</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《关于以改善环境质量为核心加强环境影响评价管理的通知》（环环评〔2016〕150号），2016年10月26日；</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《国家危险废物名录（202</w:t>
      </w:r>
      <w:r>
        <w:rPr>
          <w:rFonts w:hint="eastAsia"/>
          <w:snapToGrid/>
          <w:color w:val="000000" w:themeColor="text1"/>
          <w14:textFill>
            <w14:solidFill>
              <w14:schemeClr w14:val="tx1"/>
            </w14:solidFill>
          </w14:textFill>
        </w:rPr>
        <w:t>5</w:t>
      </w:r>
      <w:r>
        <w:rPr>
          <w:snapToGrid/>
          <w:color w:val="000000" w:themeColor="text1"/>
          <w14:textFill>
            <w14:solidFill>
              <w14:schemeClr w14:val="tx1"/>
            </w14:solidFill>
          </w14:textFill>
        </w:rPr>
        <w:t>年版）》（</w:t>
      </w:r>
      <w:r>
        <w:rPr>
          <w:rFonts w:hint="eastAsia"/>
          <w:snapToGrid/>
          <w:color w:val="000000" w:themeColor="text1"/>
          <w14:textFill>
            <w14:solidFill>
              <w14:schemeClr w14:val="tx1"/>
            </w14:solidFill>
          </w14:textFill>
        </w:rPr>
        <w:t>2024年11月26日生态环境部、国家发展和改革委员会、公安部、交通运输部、国家卫生健康委员会令第36号公布，自2025年1月1日起施行</w:t>
      </w:r>
      <w:r>
        <w:rPr>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《危险废物转移管理办法》（国家环境保护总局令第5号）；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《危险化学品安全管理条例》（中华人民共和国国务院令第645号）；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《长江经济带生态环境保护规划》（环规财〔2017〕88号）；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《关于印发深入打好长江保护修复攻坚战行动方案的通知》（环水体</w:t>
      </w:r>
      <w:r>
        <w:rPr>
          <w:snapToGrid/>
          <w:color w:val="000000" w:themeColor="text1"/>
          <w14:textFill>
            <w14:solidFill>
              <w14:schemeClr w14:val="tx1"/>
            </w14:solidFill>
          </w14:textFill>
        </w:rPr>
        <w:t>〔2022〕55号</w:t>
      </w:r>
      <w:r>
        <w:rPr>
          <w:rFonts w:hint="eastAsia"/>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《关于促进开发区改革和创新发展的若干意见》（国办发〔2017〕7号）；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《环境影响评价公众参与办法》（生态环境部令第4号）2019年1月1日起施行；</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《关于进一步规范城镇（园区）污水处理环境管理的通知》（环水体〔2020〕71号）；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《关于加强高耗能、高排放建设项目生态环境源头防控的指导意见》（环环评〔2021〕45号）；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《关于加强重点行业建设项目区域削减措施监督管理的通知》（环办环评〔2020〕36号）；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《关于加强企业温室气体排放报告管理相关工作的通知》（环办气候〔2021〕9号）；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《关于印发﹤重点行业挥发性有机物综合治理方案﹥的通知》（环大气〔2019〕53号）；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《关于印发﹤工业炉窑大气污染综合治理方案﹥的通知》（环大气〔2019〕56号）；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《关于印发﹤环境影响评价与排污许可领域协同推进碳减排工作方案﹥的通知》（环办环评函〔2021〕277号）；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《中共中央</w:t>
      </w:r>
      <w:r>
        <w:rPr>
          <w:rFonts w:hint="eastAsia"/>
          <w:snapToGrid/>
          <w:color w:val="000000" w:themeColor="text1"/>
          <w:lang w:val="en-US"/>
          <w14:textFill>
            <w14:solidFill>
              <w14:schemeClr w14:val="tx1"/>
            </w14:solidFill>
          </w14:textFill>
        </w:rPr>
        <w:t xml:space="preserve"> </w:t>
      </w:r>
      <w:r>
        <w:rPr>
          <w:snapToGrid/>
          <w:color w:val="000000" w:themeColor="text1"/>
          <w14:textFill>
            <w14:solidFill>
              <w14:schemeClr w14:val="tx1"/>
            </w14:solidFill>
          </w14:textFill>
        </w:rPr>
        <w:t>国务院关于完整准确全面贯彻新发展理念做好碳达峰碳中和工作的意见》（中发〔2021〕36号）；</w:t>
      </w:r>
    </w:p>
    <w:p>
      <w:pPr>
        <w:pStyle w:val="51"/>
        <w:numPr>
          <w:ilvl w:val="0"/>
          <w:numId w:val="6"/>
        </w:numPr>
        <w:ind w:firstLineChars="0"/>
        <w:rPr>
          <w:snapToGrid/>
          <w:color w:val="000000" w:themeColor="text1"/>
          <w14:textFill>
            <w14:solidFill>
              <w14:schemeClr w14:val="tx1"/>
            </w14:solidFill>
          </w14:textFill>
        </w:rPr>
      </w:pPr>
      <w:r>
        <w:rPr>
          <w:rFonts w:hint="eastAsia" w:ascii="宋体" w:hAnsi="宋体"/>
          <w:snapToGrid/>
          <w:color w:val="000000" w:themeColor="text1"/>
          <w14:textFill>
            <w14:solidFill>
              <w14:schemeClr w14:val="tx1"/>
            </w14:solidFill>
          </w14:textFill>
        </w:rPr>
        <w:t>《工业和信息化部</w:t>
      </w:r>
      <w:r>
        <w:rPr>
          <w:rFonts w:hint="eastAsia"/>
          <w:snapToGrid/>
          <w:color w:val="000000" w:themeColor="text1"/>
          <w14:textFill>
            <w14:solidFill>
              <w14:schemeClr w14:val="tx1"/>
            </w14:solidFill>
          </w14:textFill>
        </w:rPr>
        <w:t>、国家发展改革委、生态环境部关于印发工业领域碳达峰实施方案的通知</w:t>
      </w:r>
      <w:r>
        <w:rPr>
          <w:rFonts w:hint="eastAsia" w:ascii="宋体" w:hAnsi="宋体"/>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（工信部联节〔2022〕88号）；</w:t>
      </w:r>
    </w:p>
    <w:p>
      <w:pPr>
        <w:pStyle w:val="51"/>
        <w:numPr>
          <w:ilvl w:val="0"/>
          <w:numId w:val="6"/>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《关于实施“三线一单”生态环境分区管控的指导意见（试行）》（环环评〔2021〕108号）</w:t>
      </w:r>
      <w:r>
        <w:rPr>
          <w:rFonts w:hint="eastAsia"/>
          <w:snapToGrid/>
          <w:color w:val="000000" w:themeColor="text1"/>
          <w14:textFill>
            <w14:solidFill>
              <w14:schemeClr w14:val="tx1"/>
            </w14:solidFill>
          </w14:textFill>
        </w:rPr>
        <w:t>；</w:t>
      </w:r>
    </w:p>
    <w:p>
      <w:pPr>
        <w:pStyle w:val="51"/>
        <w:numPr>
          <w:ilvl w:val="0"/>
          <w:numId w:val="6"/>
        </w:numPr>
        <w:ind w:firstLineChars="0"/>
        <w:rPr>
          <w:snapToGrid/>
          <w:color w:val="000000" w:themeColor="text1"/>
          <w14:textFill>
            <w14:solidFill>
              <w14:schemeClr w14:val="tx1"/>
            </w14:solidFill>
          </w14:textFill>
        </w:rPr>
      </w:pPr>
      <w:r>
        <w:rPr>
          <w:rFonts w:hint="eastAsia" w:ascii="宋体" w:hAnsi="宋体"/>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关于进一步加强重金属污染防控的意见</w:t>
      </w:r>
      <w:r>
        <w:rPr>
          <w:rFonts w:hint="eastAsia" w:ascii="宋体" w:hAnsi="宋体"/>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（环固体〔2022〕17号）；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《环境保护综合名录》（2021版）；</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《国务院关于印发〈空气质量持续改善行动计划〉的通知》（国发〔2023〕24号）；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《国务院关于印发“十四五”节能减排综合工作方案的通知》（国发〔2021〕33号）；</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《长江经济带发展负面清单（2</w:t>
      </w:r>
      <w:r>
        <w:rPr>
          <w:snapToGrid/>
          <w:color w:val="000000" w:themeColor="text1"/>
          <w14:textFill>
            <w14:solidFill>
              <w14:schemeClr w14:val="tx1"/>
            </w14:solidFill>
          </w14:textFill>
        </w:rPr>
        <w:t>022</w:t>
      </w:r>
      <w:r>
        <w:rPr>
          <w:rFonts w:hint="eastAsia"/>
          <w:snapToGrid/>
          <w:color w:val="000000" w:themeColor="text1"/>
          <w14:textFill>
            <w14:solidFill>
              <w14:schemeClr w14:val="tx1"/>
            </w14:solidFill>
          </w14:textFill>
        </w:rPr>
        <w:t>年版）》；</w:t>
      </w:r>
    </w:p>
    <w:p>
      <w:pPr>
        <w:pStyle w:val="51"/>
        <w:numPr>
          <w:ilvl w:val="0"/>
          <w:numId w:val="6"/>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《关于印发深入打好城市黑臭水体治理攻坚战实施方案的通知》（建城</w:t>
      </w:r>
      <w:r>
        <w:rPr>
          <w:snapToGrid/>
          <w:color w:val="000000" w:themeColor="text1"/>
          <w14:textFill>
            <w14:solidFill>
              <w14:schemeClr w14:val="tx1"/>
            </w14:solidFill>
          </w14:textFill>
        </w:rPr>
        <w:t>〔20</w:t>
      </w:r>
      <w:r>
        <w:rPr>
          <w:rFonts w:hint="eastAsia"/>
          <w:snapToGrid/>
          <w:color w:val="000000" w:themeColor="text1"/>
          <w14:textFill>
            <w14:solidFill>
              <w14:schemeClr w14:val="tx1"/>
            </w14:solidFill>
          </w14:textFill>
        </w:rPr>
        <w:t>22</w:t>
      </w:r>
      <w:r>
        <w:rPr>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29</w:t>
      </w:r>
      <w:r>
        <w:rPr>
          <w:snapToGrid/>
          <w:color w:val="000000" w:themeColor="text1"/>
          <w14:textFill>
            <w14:solidFill>
              <w14:schemeClr w14:val="tx1"/>
            </w14:solidFill>
          </w14:textFill>
        </w:rPr>
        <w:t>号</w:t>
      </w:r>
      <w:r>
        <w:rPr>
          <w:rFonts w:hint="eastAsia"/>
          <w:snapToGrid/>
          <w:color w:val="000000" w:themeColor="text1"/>
          <w14:textFill>
            <w14:solidFill>
              <w14:schemeClr w14:val="tx1"/>
            </w14:solidFill>
          </w14:textFill>
        </w:rPr>
        <w:t>）。</w:t>
      </w:r>
    </w:p>
    <w:p>
      <w:pPr>
        <w:pStyle w:val="32"/>
        <w:rPr>
          <w:color w:val="000000" w:themeColor="text1"/>
          <w14:textFill>
            <w14:solidFill>
              <w14:schemeClr w14:val="tx1"/>
            </w14:solidFill>
          </w14:textFill>
        </w:rPr>
      </w:pPr>
      <w:r>
        <w:rPr>
          <w:color w:val="000000" w:themeColor="text1"/>
          <w14:textFill>
            <w14:solidFill>
              <w14:schemeClr w14:val="tx1"/>
            </w14:solidFill>
          </w14:textFill>
        </w:rPr>
        <w:t>地方相关法律法规、条例及文件</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《湖南省环境保护条例》</w:t>
      </w:r>
      <w:r>
        <w:rPr>
          <w:rFonts w:hint="eastAsia"/>
          <w:snapToGrid/>
          <w:color w:val="000000" w:themeColor="text1"/>
          <w14:textFill>
            <w14:solidFill>
              <w14:schemeClr w14:val="tx1"/>
            </w14:solidFill>
          </w14:textFill>
        </w:rPr>
        <w:t>（2</w:t>
      </w:r>
      <w:r>
        <w:rPr>
          <w:snapToGrid/>
          <w:color w:val="000000" w:themeColor="text1"/>
          <w14:textFill>
            <w14:solidFill>
              <w14:schemeClr w14:val="tx1"/>
            </w14:solidFill>
          </w14:textFill>
        </w:rPr>
        <w:t>0</w:t>
      </w:r>
      <w:r>
        <w:rPr>
          <w:rFonts w:hint="eastAsia"/>
          <w:snapToGrid/>
          <w:color w:val="000000" w:themeColor="text1"/>
          <w14:textFill>
            <w14:solidFill>
              <w14:schemeClr w14:val="tx1"/>
            </w14:solidFill>
          </w14:textFill>
        </w:rPr>
        <w:t>24年修订）</w:t>
      </w:r>
      <w:r>
        <w:rPr>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《湖南省主要地表水系水环境功能区划》（DB43/023-2005）；</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《湖南省主体功能区规划》（湘政发〔2012〕39号）；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《湖南省大气污染防治条例》</w:t>
      </w:r>
      <w:r>
        <w:rPr>
          <w:rFonts w:hint="eastAsia"/>
          <w:snapToGrid/>
          <w:color w:val="000000" w:themeColor="text1"/>
          <w14:textFill>
            <w14:solidFill>
              <w14:schemeClr w14:val="tx1"/>
            </w14:solidFill>
          </w14:textFill>
        </w:rPr>
        <w:t>（2020年6月12日起施行）</w:t>
      </w:r>
      <w:r>
        <w:rPr>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《湖南省水污染防治条例》（2025年5月1日起施行）</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《湖南省饮用水水源保护条例》</w:t>
      </w:r>
      <w:r>
        <w:rPr>
          <w:rFonts w:hint="eastAsia"/>
          <w:snapToGrid/>
          <w:color w:val="000000" w:themeColor="text1"/>
          <w14:textFill>
            <w14:solidFill>
              <w14:schemeClr w14:val="tx1"/>
            </w14:solidFill>
          </w14:textFill>
        </w:rPr>
        <w:t>（2018年1月1日起施行）</w:t>
      </w:r>
      <w:r>
        <w:rPr>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《湖南省省级工业集中区发展规划审批实施意见》</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湘园区〔2012〕1号</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《关于进一步加强节约集约用地的意见》（湘政发〔2016〕10号）；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《关于加强我省产业园区环境污染集中整治的意见》（湘园区〔2016〕2号）；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《关于进一步规范和加强产业园区生态环境管理的通知》（湘环发〔2020〕27号）；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《湖南省生态环境厅关于执行污染物特别排放限值（第一批）的公告》；</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《湖南省生态环境厅关于执行污染物特别排放限值（第</w:t>
      </w:r>
      <w:r>
        <w:rPr>
          <w:rFonts w:hint="eastAsia"/>
          <w:snapToGrid/>
          <w:color w:val="000000" w:themeColor="text1"/>
          <w14:textFill>
            <w14:solidFill>
              <w14:schemeClr w14:val="tx1"/>
            </w14:solidFill>
          </w14:textFill>
        </w:rPr>
        <w:t>二</w:t>
      </w:r>
      <w:r>
        <w:rPr>
          <w:snapToGrid/>
          <w:color w:val="000000" w:themeColor="text1"/>
          <w14:textFill>
            <w14:solidFill>
              <w14:schemeClr w14:val="tx1"/>
            </w14:solidFill>
          </w14:textFill>
        </w:rPr>
        <w:t>批）的公告》；</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《长江经济带（湖南省）生态环境保护实施方案》（湘环函〔2018〕38号）；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《湖南省长江经济带发展负面清单实施细则（试行，2022年版）》（湖南省推动长江经济带发展领导小组办公室文件第70号）；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《湖南省开发区调区扩区和退出管理办法》（湘政办发〔2018〕19号）；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《湖南省人民政府关于印发</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湖南省生态保护红线</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的通知》（湘政发〔2018〕20号）；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《湖南省人民政府关于实施“三线一单”生态环境分区管控的意见》（湘政发〔2020〕12号）；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《湖南省生态环境分区管控总体管控要求暨省级以上产业园区生态环境准入清单》（湘环函〔2024〕26号）；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《怀化市“三线一单”生态环境管控基本要求暨环境管控单元（省级以上产业园区除外）生态环境准入清单》（怀政发〔2020〕6号）；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《关于发布怀化市生态环境分区管控动态更新成果（2023年版）的通知》（怀环发〔2024〕28号）；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《湖南省人民政府办公厅关于印发〈湖南省现代化产业体系建设实施方案〉的通知》（湘政办发〔2023〕54号）；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《湖南省人民政府关于推进全省产业园区高质量发展的实施意见》（湘政发〔2020〕13号）；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《湖南省人民政府办公厅关于创建“五好”园区推动新发展阶段园区高质量发展的指导意见》（湘政办发</w:t>
      </w:r>
      <w:r>
        <w:rPr>
          <w:snapToGrid/>
          <w:color w:val="000000" w:themeColor="text1"/>
          <w14:textFill>
            <w14:solidFill>
              <w14:schemeClr w14:val="tx1"/>
            </w14:solidFill>
          </w14:textFill>
        </w:rPr>
        <w:t>〔2021〕19</w:t>
      </w:r>
      <w:r>
        <w:rPr>
          <w:rFonts w:hint="eastAsia"/>
          <w:snapToGrid/>
          <w:color w:val="000000" w:themeColor="text1"/>
          <w14:textFill>
            <w14:solidFill>
              <w14:schemeClr w14:val="tx1"/>
            </w14:solidFill>
          </w14:textFill>
        </w:rPr>
        <w:t>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《湖南省工业炉窑大气污染综合治理实施方案》（湘环发〔2020〕6号）；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《湖南省园区环境污染第三方治理环保服务规范（试行）》（湘环函〔2021〕165号）；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《规范和加强产业园区工业污水收集处理实施方案（2021-2023年）》（湘环发</w:t>
      </w:r>
      <w:r>
        <w:rPr>
          <w:rFonts w:hint="eastAsia" w:ascii="宋体" w:hAnsi="宋体"/>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2021</w:t>
      </w:r>
      <w:r>
        <w:rPr>
          <w:rFonts w:hint="eastAsia" w:ascii="宋体" w:hAnsi="宋体"/>
          <w:snapToGrid/>
          <w:color w:val="000000" w:themeColor="text1"/>
          <w14:textFill>
            <w14:solidFill>
              <w14:schemeClr w14:val="tx1"/>
            </w14:solidFill>
          </w14:textFill>
        </w:rPr>
        <w:t>〕</w:t>
      </w:r>
      <w:r>
        <w:rPr>
          <w:rFonts w:hint="eastAsia"/>
          <w:snapToGrid/>
          <w:color w:val="000000" w:themeColor="text1"/>
          <w14:textFill>
            <w14:solidFill>
              <w14:schemeClr w14:val="tx1"/>
            </w14:solidFill>
          </w14:textFill>
        </w:rPr>
        <w:t>41号）；</w:t>
      </w:r>
    </w:p>
    <w:p>
      <w:pPr>
        <w:pStyle w:val="51"/>
        <w:numPr>
          <w:ilvl w:val="0"/>
          <w:numId w:val="7"/>
        </w:numPr>
        <w:ind w:firstLineChars="0"/>
        <w:rPr>
          <w:snapToGrid/>
          <w:color w:val="000000" w:themeColor="text1"/>
          <w14:textFill>
            <w14:solidFill>
              <w14:schemeClr w14:val="tx1"/>
            </w14:solidFill>
          </w14:textFill>
        </w:rPr>
      </w:pPr>
      <w:r>
        <w:rPr>
          <w:snapToGrid/>
          <w:color w:val="000000" w:themeColor="text1"/>
          <w14:textFill>
            <w14:solidFill>
              <w14:schemeClr w14:val="tx1"/>
            </w14:solidFill>
          </w14:textFill>
        </w:rPr>
        <w:t>《湖南省“两高”项目管理目录》（湘发改环资〔2021〕968号）</w:t>
      </w:r>
      <w:r>
        <w:rPr>
          <w:rFonts w:hint="eastAsia"/>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《湖南省大气污染防治“守护蓝天”攻坚行动计划（2023-2025年）》；</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《湖南省工业治理领域大气污染防治攻坚实施方案》（湘环发〔2023〕63号）；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《关于印发〈湖南省突发环境事件应急预案管理办法（修订版）〉的通知》（湘环发〔2024〕49号）；</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《湖南省空气质量持续改善行动计划实施方案》（</w:t>
      </w:r>
      <w:r>
        <w:rPr>
          <w:rFonts w:hint="eastAsia"/>
          <w:snapToGrid/>
          <w:color w:val="000000" w:themeColor="text1"/>
          <w:lang w:val="en-US"/>
          <w14:textFill>
            <w14:solidFill>
              <w14:schemeClr w14:val="tx1"/>
            </w14:solidFill>
          </w14:textFill>
        </w:rPr>
        <w:t>湘政办发〔2024〕33号</w:t>
      </w:r>
      <w:r>
        <w:rPr>
          <w:rFonts w:hint="eastAsia"/>
          <w:snapToGrid/>
          <w:color w:val="000000" w:themeColor="text1"/>
          <w14:textFill>
            <w14:solidFill>
              <w14:schemeClr w14:val="tx1"/>
            </w14:solidFill>
          </w14:textFill>
        </w:rPr>
        <w:t>）；</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《湖南省城镇污水管网建设运行管理若干规定》（2023年11月30日湖南省第十四届人民代表大会常务委员会第六次会议通过）；</w:t>
      </w:r>
    </w:p>
    <w:p>
      <w:pPr>
        <w:pStyle w:val="51"/>
        <w:numPr>
          <w:ilvl w:val="0"/>
          <w:numId w:val="7"/>
        </w:numPr>
        <w:ind w:firstLineChars="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《湖南省“十四五”重金属污染防治规划》（湘环发〔2022〕27号）。</w:t>
      </w:r>
    </w:p>
    <w:p>
      <w:pPr>
        <w:pStyle w:val="32"/>
        <w:rPr>
          <w:color w:val="000000" w:themeColor="text1"/>
          <w14:textFill>
            <w14:solidFill>
              <w14:schemeClr w14:val="tx1"/>
            </w14:solidFill>
          </w14:textFill>
        </w:rPr>
      </w:pPr>
      <w:r>
        <w:rPr>
          <w:color w:val="000000" w:themeColor="text1"/>
          <w14:textFill>
            <w14:solidFill>
              <w14:schemeClr w14:val="tx1"/>
            </w14:solidFill>
          </w14:textFill>
        </w:rPr>
        <w:t>技术导则及规范</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《规划环境影响评价技术导则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总纲》（HJ130-2019）；</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大气环境》（HJ2.2-2018）；</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地表水环境》（HJ2.3-2018）；</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声环境》（HJ2.4-2021）；</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地下水环境》（HJ610-2016）；</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生态影响》（HJ19-2022）；</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《规划环境影响评价技术导则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产业园区》（HJ131-2021）；</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《建设项目环境风险评价技术导则》（HJ169-2018）；</w:t>
      </w:r>
    </w:p>
    <w:p>
      <w:pPr>
        <w:pStyle w:val="51"/>
        <w:numPr>
          <w:ilvl w:val="0"/>
          <w:numId w:val="8"/>
        </w:numPr>
        <w:ind w:firstLineChars="0"/>
        <w:rPr>
          <w:color w:val="000000" w:themeColor="text1"/>
          <w14:textFill>
            <w14:solidFill>
              <w14:schemeClr w14:val="tx1"/>
            </w14:solidFill>
          </w14:textFill>
        </w:rPr>
      </w:pP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土壤环境（试行）》（HJ964-2018）。</w:t>
      </w:r>
    </w:p>
    <w:p>
      <w:pPr>
        <w:pStyle w:val="32"/>
        <w:rPr>
          <w:color w:val="000000" w:themeColor="text1"/>
          <w14:textFill>
            <w14:solidFill>
              <w14:schemeClr w14:val="tx1"/>
            </w14:solidFill>
          </w14:textFill>
        </w:rPr>
      </w:pPr>
      <w:r>
        <w:rPr>
          <w:color w:val="000000" w:themeColor="text1"/>
          <w14:textFill>
            <w14:solidFill>
              <w14:schemeClr w14:val="tx1"/>
            </w14:solidFill>
          </w14:textFill>
        </w:rPr>
        <w:t>相关规划及技术资料</w:t>
      </w:r>
    </w:p>
    <w:p>
      <w:pPr>
        <w:pStyle w:val="51"/>
        <w:numPr>
          <w:ilvl w:val="0"/>
          <w:numId w:val="9"/>
        </w:numPr>
        <w:ind w:firstLineChars="0"/>
        <w:rPr>
          <w:color w:val="000000" w:themeColor="text1"/>
          <w14:textFill>
            <w14:solidFill>
              <w14:schemeClr w14:val="tx1"/>
            </w14:solidFill>
          </w14:textFill>
        </w:rPr>
      </w:pPr>
      <w:r>
        <w:rPr>
          <w:color w:val="000000" w:themeColor="text1"/>
          <w14:textFill>
            <w14:solidFill>
              <w14:schemeClr w14:val="tx1"/>
            </w14:solidFill>
          </w14:textFill>
        </w:rPr>
        <w:t>《全国主体功能区规划》（国发〔2010〕46号）；</w:t>
      </w:r>
    </w:p>
    <w:p>
      <w:pPr>
        <w:pStyle w:val="51"/>
        <w:numPr>
          <w:ilvl w:val="0"/>
          <w:numId w:val="9"/>
        </w:numPr>
        <w:ind w:firstLineChars="0"/>
        <w:rPr>
          <w:color w:val="000000" w:themeColor="text1"/>
          <w14:textFill>
            <w14:solidFill>
              <w14:schemeClr w14:val="tx1"/>
            </w14:solidFill>
          </w14:textFill>
        </w:rPr>
      </w:pPr>
      <w:r>
        <w:rPr>
          <w:color w:val="000000" w:themeColor="text1"/>
          <w14:textFill>
            <w14:solidFill>
              <w14:schemeClr w14:val="tx1"/>
            </w14:solidFill>
          </w14:textFill>
        </w:rPr>
        <w:t>《全国生态功能区划（修编版）》（2015年，第61号）；</w:t>
      </w:r>
    </w:p>
    <w:p>
      <w:pPr>
        <w:pStyle w:val="51"/>
        <w:numPr>
          <w:ilvl w:val="0"/>
          <w:numId w:val="9"/>
        </w:numPr>
        <w:ind w:firstLineChars="0"/>
        <w:rPr>
          <w:color w:val="000000" w:themeColor="text1"/>
          <w14:textFill>
            <w14:solidFill>
              <w14:schemeClr w14:val="tx1"/>
            </w14:solidFill>
          </w14:textFill>
        </w:rPr>
      </w:pPr>
      <w:r>
        <w:rPr>
          <w:color w:val="000000" w:themeColor="text1"/>
          <w14:textFill>
            <w14:solidFill>
              <w14:schemeClr w14:val="tx1"/>
            </w14:solidFill>
          </w14:textFill>
        </w:rPr>
        <w:t>《湖南省主体功能区规划》（湘政发〔2012〕39号，2012年11月17日）；</w:t>
      </w:r>
    </w:p>
    <w:p>
      <w:pPr>
        <w:pStyle w:val="51"/>
        <w:numPr>
          <w:ilvl w:val="0"/>
          <w:numId w:val="9"/>
        </w:numPr>
        <w:ind w:firstLineChars="0"/>
        <w:rPr>
          <w:color w:val="000000" w:themeColor="text1"/>
          <w14:textFill>
            <w14:solidFill>
              <w14:schemeClr w14:val="tx1"/>
            </w14:solidFill>
          </w14:textFill>
        </w:rPr>
      </w:pPr>
      <w:r>
        <w:rPr>
          <w:color w:val="000000" w:themeColor="text1"/>
          <w14:textFill>
            <w14:solidFill>
              <w14:schemeClr w14:val="tx1"/>
            </w14:solidFill>
          </w14:textFill>
        </w:rPr>
        <w:t>《湖南省国民经济和社会发展第十四个五年规划和二〇三五年远景目标纲要》；</w:t>
      </w:r>
    </w:p>
    <w:p>
      <w:pPr>
        <w:pStyle w:val="51"/>
        <w:numPr>
          <w:ilvl w:val="0"/>
          <w:numId w:val="9"/>
        </w:numPr>
        <w:ind w:firstLineChars="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国民经济和社会发展第十四个五年规划和二〇三五年远景目标纲要》；</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《沅陵县国民经济和社会发展</w:t>
      </w:r>
      <w:r>
        <w:rPr>
          <w:color w:val="000000" w:themeColor="text1"/>
          <w14:textFill>
            <w14:solidFill>
              <w14:schemeClr w14:val="tx1"/>
            </w14:solidFill>
          </w14:textFill>
        </w:rPr>
        <w:t>第十四个五年规划和二〇三五年远景目标纲要</w:t>
      </w:r>
      <w:r>
        <w:rPr>
          <w:rFonts w:hint="eastAsia"/>
          <w:color w:val="000000" w:themeColor="text1"/>
          <w14:textFill>
            <w14:solidFill>
              <w14:schemeClr w14:val="tx1"/>
            </w14:solidFill>
          </w14:textFill>
        </w:rPr>
        <w:t>》；</w:t>
      </w:r>
    </w:p>
    <w:p>
      <w:pPr>
        <w:pStyle w:val="51"/>
        <w:numPr>
          <w:ilvl w:val="0"/>
          <w:numId w:val="9"/>
        </w:numPr>
        <w:ind w:firstLineChars="0"/>
        <w:rPr>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《湖南省“十四五”生态环境保护规划》（湘政办发</w:t>
      </w:r>
      <w:r>
        <w:rPr>
          <w:snapToGrid/>
          <w:color w:val="000000" w:themeColor="text1"/>
          <w14:textFill>
            <w14:solidFill>
              <w14:schemeClr w14:val="tx1"/>
            </w14:solidFill>
          </w14:textFill>
        </w:rPr>
        <w:t>〔2021〕61号</w:t>
      </w:r>
      <w:r>
        <w:rPr>
          <w:rFonts w:hint="eastAsia"/>
          <w:snapToGrid/>
          <w:color w:val="000000" w:themeColor="text1"/>
          <w14:textFill>
            <w14:solidFill>
              <w14:schemeClr w14:val="tx1"/>
            </w14:solidFill>
          </w14:textFill>
        </w:rPr>
        <w:t>）；</w:t>
      </w:r>
    </w:p>
    <w:p>
      <w:pPr>
        <w:pStyle w:val="51"/>
        <w:numPr>
          <w:ilvl w:val="0"/>
          <w:numId w:val="9"/>
        </w:numPr>
        <w:ind w:firstLineChars="0"/>
        <w:rPr>
          <w:color w:val="000000" w:themeColor="text1"/>
          <w14:textFill>
            <w14:solidFill>
              <w14:schemeClr w14:val="tx1"/>
            </w14:solidFill>
          </w14:textFill>
        </w:rPr>
      </w:pPr>
      <w:r>
        <w:rPr>
          <w:rFonts w:hint="eastAsia"/>
          <w:snapToGrid/>
          <w:color w:val="000000" w:themeColor="text1"/>
          <w14:textFill>
            <w14:solidFill>
              <w14:schemeClr w14:val="tx1"/>
            </w14:solidFill>
          </w14:textFill>
        </w:rPr>
        <w:t>《怀化市“十四五”生态环境保护规划》；</w:t>
      </w:r>
    </w:p>
    <w:p>
      <w:pPr>
        <w:pStyle w:val="51"/>
        <w:numPr>
          <w:ilvl w:val="0"/>
          <w:numId w:val="9"/>
        </w:numPr>
        <w:ind w:firstLineChars="0"/>
        <w:rPr>
          <w:color w:val="000000" w:themeColor="text1"/>
          <w14:textFill>
            <w14:solidFill>
              <w14:schemeClr w14:val="tx1"/>
            </w14:solidFill>
          </w14:textFill>
        </w:rPr>
      </w:pPr>
      <w:r>
        <w:rPr>
          <w:rFonts w:hint="eastAsia"/>
          <w:snapToGrid/>
          <w:color w:val="000000" w:themeColor="text1"/>
          <w14:textFill>
            <w14:solidFill>
              <w14:schemeClr w14:val="tx1"/>
            </w14:solidFill>
          </w14:textFill>
        </w:rPr>
        <w:t>《湖南省园区产业“十四五”发展规划》；</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《湖南省有色金属行业碳达峰实施方案》；</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《湖南省有色金属行业“十四五”发展规划》；</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《怀化市国土空间总体规划》（2021-2035年）；</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《沅陵县国土空间总体规划》（2021-2035年）；</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《沅陵县凉水井镇国土空间规划》（2021-2035年）；</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《沅陵县官庄镇国土空间规划》（2021-2035年）；</w:t>
      </w:r>
    </w:p>
    <w:p>
      <w:pPr>
        <w:pStyle w:val="51"/>
        <w:numPr>
          <w:ilvl w:val="0"/>
          <w:numId w:val="9"/>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《沅陵县麻溪铺镇国土空间规划》（2021-2035年）。</w:t>
      </w:r>
    </w:p>
    <w:p>
      <w:pPr>
        <w:pStyle w:val="30"/>
        <w:rPr>
          <w:color w:val="000000" w:themeColor="text1"/>
          <w14:textFill>
            <w14:solidFill>
              <w14:schemeClr w14:val="tx1"/>
            </w14:solidFill>
          </w14:textFill>
        </w:rPr>
      </w:pPr>
      <w:bookmarkStart w:id="4" w:name="_Toc236641262"/>
      <w:r>
        <w:rPr>
          <w:color w:val="000000" w:themeColor="text1"/>
          <w14:textFill>
            <w14:solidFill>
              <w14:schemeClr w14:val="tx1"/>
            </w14:solidFill>
          </w14:textFill>
        </w:rPr>
        <w:t>评价目的和原则</w:t>
      </w:r>
      <w:bookmarkEnd w:id="4"/>
    </w:p>
    <w:p>
      <w:pPr>
        <w:pStyle w:val="32"/>
        <w:rPr>
          <w:color w:val="000000" w:themeColor="text1"/>
          <w14:textFill>
            <w14:solidFill>
              <w14:schemeClr w14:val="tx1"/>
            </w14:solidFill>
          </w14:textFill>
        </w:rPr>
      </w:pPr>
      <w:r>
        <w:rPr>
          <w:color w:val="000000" w:themeColor="text1"/>
          <w14:textFill>
            <w14:solidFill>
              <w14:schemeClr w14:val="tx1"/>
            </w14:solidFill>
          </w14:textFill>
        </w:rPr>
        <w:t>评价目的</w:t>
      </w:r>
    </w:p>
    <w:p>
      <w:pPr>
        <w:pStyle w:val="51"/>
        <w:numPr>
          <w:ilvl w:val="0"/>
          <w:numId w:val="10"/>
        </w:numPr>
        <w:ind w:firstLineChars="0"/>
        <w:rPr>
          <w:color w:val="000000" w:themeColor="text1"/>
          <w14:textFill>
            <w14:solidFill>
              <w14:schemeClr w14:val="tx1"/>
            </w14:solidFill>
          </w14:textFill>
        </w:rPr>
      </w:pPr>
      <w:r>
        <w:rPr>
          <w:color w:val="000000" w:themeColor="text1"/>
          <w14:textFill>
            <w14:solidFill>
              <w14:schemeClr w14:val="tx1"/>
            </w14:solidFill>
          </w14:textFill>
        </w:rPr>
        <w:t>通过回顾性评价，分析</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存在的问题，识别制约规划实施的主要资源和环境要素。</w:t>
      </w:r>
    </w:p>
    <w:p>
      <w:pPr>
        <w:pStyle w:val="51"/>
        <w:numPr>
          <w:ilvl w:val="0"/>
          <w:numId w:val="10"/>
        </w:numPr>
        <w:ind w:firstLineChars="0"/>
        <w:rPr>
          <w:color w:val="000000" w:themeColor="text1"/>
          <w14:textFill>
            <w14:solidFill>
              <w14:schemeClr w14:val="tx1"/>
            </w14:solidFill>
          </w14:textFill>
        </w:rPr>
      </w:pPr>
      <w:r>
        <w:rPr>
          <w:color w:val="000000" w:themeColor="text1"/>
          <w14:textFill>
            <w14:solidFill>
              <w14:schemeClr w14:val="tx1"/>
            </w14:solidFill>
          </w14:textFill>
        </w:rPr>
        <w:t>以保持和改善环境质量为核心，以环境达标为基本底线，构建评价指标体系。</w:t>
      </w:r>
    </w:p>
    <w:p>
      <w:pPr>
        <w:pStyle w:val="51"/>
        <w:numPr>
          <w:ilvl w:val="0"/>
          <w:numId w:val="10"/>
        </w:numPr>
        <w:ind w:firstLineChars="0"/>
        <w:rPr>
          <w:color w:val="000000" w:themeColor="text1"/>
          <w14:textFill>
            <w14:solidFill>
              <w14:schemeClr w14:val="tx1"/>
            </w14:solidFill>
          </w14:textFill>
        </w:rPr>
      </w:pPr>
      <w:r>
        <w:rPr>
          <w:color w:val="000000" w:themeColor="text1"/>
          <w14:textFill>
            <w14:solidFill>
              <w14:schemeClr w14:val="tx1"/>
            </w14:solidFill>
          </w14:textFill>
        </w:rPr>
        <w:t>依据规划的空间布局、发展规模及方式，分析、预测与评价规划实施可能对区域生态环境产生的整体影响，论证规划方案的环境合理性和对可持续发展的影响，论证规划实施后环境目标和指标的可达性。</w:t>
      </w:r>
    </w:p>
    <w:p>
      <w:pPr>
        <w:pStyle w:val="51"/>
        <w:numPr>
          <w:ilvl w:val="0"/>
          <w:numId w:val="10"/>
        </w:numPr>
        <w:ind w:firstLineChars="0"/>
        <w:rPr>
          <w:color w:val="000000" w:themeColor="text1"/>
          <w14:textFill>
            <w14:solidFill>
              <w14:schemeClr w14:val="tx1"/>
            </w14:solidFill>
          </w14:textFill>
        </w:rPr>
      </w:pPr>
      <w:r>
        <w:rPr>
          <w:color w:val="000000" w:themeColor="text1"/>
          <w14:textFill>
            <w14:solidFill>
              <w14:schemeClr w14:val="tx1"/>
            </w14:solidFill>
          </w14:textFill>
        </w:rPr>
        <w:t>落实</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三线一单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的成果，强化空间、总量、准入环境管理，提出规划优化调整建议；针对空间单元及行业分别提出环境保护对策及管控要求。</w:t>
      </w:r>
    </w:p>
    <w:p>
      <w:pPr>
        <w:pStyle w:val="32"/>
        <w:rPr>
          <w:color w:val="000000" w:themeColor="text1"/>
          <w14:textFill>
            <w14:solidFill>
              <w14:schemeClr w14:val="tx1"/>
            </w14:solidFill>
          </w14:textFill>
        </w:rPr>
      </w:pPr>
      <w:r>
        <w:rPr>
          <w:color w:val="000000" w:themeColor="text1"/>
          <w14:textFill>
            <w14:solidFill>
              <w14:schemeClr w14:val="tx1"/>
            </w14:solidFill>
          </w14:textFill>
        </w:rPr>
        <w:t>评价原则</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早期介入、过程互动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评价应在规划编制的早期阶段介入，在规划前期研究和方案编制、论证、审定等关键环节和过程中充分互动，不断优化规划方案，提高环境合理性。</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统筹衔接、分类指导</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评价工作应突出不同类型、不同层级规划及其环境影响特点，充分衔接“三线一单”成果，分类指导规划所包含建设项目的布局和生态环境准入。</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客观评价、结论科学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依据现有知识水平和技术条件对规划实施可能产生的不良环境影响的范围和程度进行客观分析，评价方法应成熟可靠，数据资料应完整可信，结论建议应具体明确且具有可操作性。</w:t>
      </w:r>
    </w:p>
    <w:p>
      <w:pPr>
        <w:pStyle w:val="30"/>
        <w:rPr>
          <w:color w:val="000000" w:themeColor="text1"/>
          <w14:textFill>
            <w14:solidFill>
              <w14:schemeClr w14:val="tx1"/>
            </w14:solidFill>
          </w14:textFill>
        </w:rPr>
      </w:pPr>
      <w:bookmarkStart w:id="5" w:name="_Toc236641263"/>
      <w:r>
        <w:rPr>
          <w:color w:val="000000" w:themeColor="text1"/>
          <w14:textFill>
            <w14:solidFill>
              <w14:schemeClr w14:val="tx1"/>
            </w14:solidFill>
          </w14:textFill>
        </w:rPr>
        <w:t>评价时段和重点</w:t>
      </w:r>
      <w:bookmarkEnd w:id="5"/>
    </w:p>
    <w:p>
      <w:pPr>
        <w:pStyle w:val="32"/>
        <w:rPr>
          <w:color w:val="000000" w:themeColor="text1"/>
          <w14:textFill>
            <w14:solidFill>
              <w14:schemeClr w14:val="tx1"/>
            </w14:solidFill>
          </w14:textFill>
        </w:rPr>
      </w:pPr>
      <w:r>
        <w:rPr>
          <w:color w:val="000000" w:themeColor="text1"/>
          <w14:textFill>
            <w14:solidFill>
              <w14:schemeClr w14:val="tx1"/>
            </w14:solidFill>
          </w14:textFill>
        </w:rPr>
        <w:t>评价时段</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本次规划期限为202</w:t>
      </w:r>
      <w:r>
        <w:rPr>
          <w:rFonts w:hint="eastAsia"/>
          <w:color w:val="000000" w:themeColor="text1"/>
          <w:lang w:val="en-US"/>
          <w14:textFill>
            <w14:solidFill>
              <w14:schemeClr w14:val="tx1"/>
            </w14:solidFill>
          </w14:textFill>
        </w:rPr>
        <w:t>5</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3</w:t>
      </w:r>
      <w:r>
        <w:rPr>
          <w:rFonts w:hint="eastAsia"/>
          <w:color w:val="000000" w:themeColor="text1"/>
          <w:lang w:val="en-US"/>
          <w14:textFill>
            <w14:solidFill>
              <w14:schemeClr w14:val="tx1"/>
            </w14:solidFill>
          </w14:textFill>
        </w:rPr>
        <w:t>5</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评价时段与规划时段相同。</w:t>
      </w:r>
    </w:p>
    <w:p>
      <w:pPr>
        <w:pStyle w:val="32"/>
        <w:rPr>
          <w:color w:val="000000" w:themeColor="text1"/>
          <w14:textFill>
            <w14:solidFill>
              <w14:schemeClr w14:val="tx1"/>
            </w14:solidFill>
          </w14:textFill>
        </w:rPr>
      </w:pPr>
      <w:r>
        <w:rPr>
          <w:color w:val="000000" w:themeColor="text1"/>
          <w14:textFill>
            <w14:solidFill>
              <w14:schemeClr w14:val="tx1"/>
            </w14:solidFill>
          </w14:textFill>
        </w:rPr>
        <w:t>评价重点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（1）规划方案分析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对规划进行分析，总体上把握湖南省、</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相关规划，进行规划的协调性分析，从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定位、规模、产业结构、布局、开发时序</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等方面确定产生重大环境影响的规划行为及环境制约因素。</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（2）园区发展存在的问题</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针对上一轮规划要点、环评结论和审查意见，分析实际开发状况与总体规划、原规划环评、环评批复之间的差异，找出现状存在的问题。通过对区内企业调查、环境质量现状监测，评估规划区域环境质量现状和变化趋势，分析区域主要的环境问题，并针对性地提出整改补救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（3）规划实施的环境影响</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系统分析规划实施对环境的影响类型和途径，预测规划实施产生的各类污染物对周边环境要素、生态系统等方面的影响程度及范围，研究区域发展对环境的需求及环境对区域发展的制约性，根据可供规划实施利用的资源量、环境容量等，综合分析区域资源与环境对规划实施的支撑能力，提出区域污染防治、整改重点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（4）规划合理性分析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从</w:t>
      </w:r>
      <w:r>
        <w:rPr>
          <w:rFonts w:hint="eastAsia"/>
          <w:color w:val="000000" w:themeColor="text1"/>
          <w14:textFill>
            <w14:solidFill>
              <w14:schemeClr w14:val="tx1"/>
            </w14:solidFill>
          </w14:textFill>
        </w:rPr>
        <w:t>区域</w:t>
      </w:r>
      <w:r>
        <w:rPr>
          <w:color w:val="000000" w:themeColor="text1"/>
          <w14:textFill>
            <w14:solidFill>
              <w14:schemeClr w14:val="tx1"/>
            </w14:solidFill>
          </w14:textFill>
        </w:rPr>
        <w:t>生态敏感区分布与保护要求、区域资源环境承载力、功能组团布局与发展方向、规划实施可能产生的环境影响，分析规划区选址、发展规模的合理性，分析内部各功能组团之间以及与外部敏感区之间的环境协调性，提出优化发展时序、控制发展规模、布局调整等优化发展建议，提出区域环境综合整治对策、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（5）环境影响减缓措施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从环境保护角度论证规划产业结构、规模和布局的环境合理性，提出减轻规划实施所带来不利环境影响的预防措施、减缓措施和修复补救措施，进行空间、总量、环境准入管控，提出“三线一单”管控建议。将资源节约、环境友好、节能减排等原则</w:t>
      </w:r>
      <w:r>
        <w:rPr>
          <w:rFonts w:hint="eastAsia"/>
          <w:color w:val="000000" w:themeColor="text1"/>
          <w14:textFill>
            <w14:solidFill>
              <w14:schemeClr w14:val="tx1"/>
            </w14:solidFill>
          </w14:textFill>
        </w:rPr>
        <w:t>纳入</w:t>
      </w:r>
      <w:r>
        <w:rPr>
          <w:color w:val="000000" w:themeColor="text1"/>
          <w14:textFill>
            <w14:solidFill>
              <w14:schemeClr w14:val="tx1"/>
            </w14:solidFill>
          </w14:textFill>
        </w:rPr>
        <w:t>规划中。优化生态环境的保护方案，园区产业环境准入门槛。</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（6）提出环境管理目标，使评价和管理相结合，提高可操作性。</w:t>
      </w:r>
    </w:p>
    <w:p>
      <w:pPr>
        <w:pStyle w:val="30"/>
        <w:rPr>
          <w:color w:val="000000" w:themeColor="text1"/>
          <w14:textFill>
            <w14:solidFill>
              <w14:schemeClr w14:val="tx1"/>
            </w14:solidFill>
          </w14:textFill>
        </w:rPr>
      </w:pPr>
      <w:bookmarkStart w:id="6" w:name="_Toc236641264"/>
      <w:r>
        <w:rPr>
          <w:color w:val="000000" w:themeColor="text1"/>
          <w14:textFill>
            <w14:solidFill>
              <w14:schemeClr w14:val="tx1"/>
            </w14:solidFill>
          </w14:textFill>
        </w:rPr>
        <w:t>评价工作流程</w:t>
      </w:r>
      <w:bookmarkEnd w:id="6"/>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规划环评工作技术路线如图所示：</w:t>
      </w:r>
    </w:p>
    <w:p>
      <w:pPr>
        <w:rPr>
          <w:color w:val="000000" w:themeColor="text1"/>
          <w14:textFill>
            <w14:solidFill>
              <w14:schemeClr w14:val="tx1"/>
            </w14:solidFill>
          </w14:textFill>
        </w:rPr>
      </w:pPr>
      <w:r>
        <w:rPr>
          <w:color w:val="000000" w:themeColor="text1"/>
          <w14:textFill>
            <w14:solidFill>
              <w14:schemeClr w14:val="tx1"/>
            </w14:solidFill>
          </w14:textFill>
        </w:rPr>
        <w:object>
          <v:shape id="_x0000_i1025" o:spt="75" type="#_x0000_t75" style="height:539.15pt;width:450.85pt;" o:ole="t" filled="f" o:preferrelative="t" stroked="f" coordsize="21600,21600">
            <v:path/>
            <v:fill on="f" focussize="0,0"/>
            <v:stroke on="f" joinstyle="miter"/>
            <v:imagedata r:id="rId13" o:title=""/>
            <o:lock v:ext="edit" aspectratio="t"/>
            <w10:wrap type="none"/>
            <w10:anchorlock/>
          </v:shape>
          <o:OLEObject Type="Embed" ProgID="Visio.Drawing.15" ShapeID="_x0000_i1025" DrawAspect="Content" ObjectID="_1468075725" r:id="rId12">
            <o:LockedField>false</o:LockedField>
          </o:OLEObject>
        </w:object>
      </w:r>
    </w:p>
    <w:p>
      <w:pPr>
        <w:pStyle w:val="54"/>
        <w:rPr>
          <w:color w:val="000000" w:themeColor="text1"/>
          <w:lang w:val="en-GB"/>
          <w14:textFill>
            <w14:solidFill>
              <w14:schemeClr w14:val="tx1"/>
            </w14:solidFill>
          </w14:textFill>
        </w:rPr>
      </w:pPr>
      <w:r>
        <w:rPr>
          <w:color w:val="000000" w:themeColor="text1"/>
          <w:lang w:val="en-GB"/>
          <w14:textFill>
            <w14:solidFill>
              <w14:schemeClr w14:val="tx1"/>
            </w14:solidFill>
          </w14:textFill>
        </w:rPr>
        <w:t>规划环境影响评价技术流程图</w:t>
      </w:r>
    </w:p>
    <w:p>
      <w:pPr>
        <w:pStyle w:val="28"/>
        <w:rPr>
          <w:color w:val="000000" w:themeColor="text1"/>
          <w14:textFill>
            <w14:solidFill>
              <w14:schemeClr w14:val="tx1"/>
            </w14:solidFill>
          </w14:textFill>
        </w:rPr>
      </w:pPr>
      <w:bookmarkStart w:id="7" w:name="_Toc236641265"/>
      <w:r>
        <w:rPr>
          <w:color w:val="000000" w:themeColor="text1"/>
          <w14:textFill>
            <w14:solidFill>
              <w14:schemeClr w14:val="tx1"/>
            </w14:solidFill>
          </w14:textFill>
        </w:rPr>
        <w:t>规划分析</w:t>
      </w:r>
      <w:bookmarkEnd w:id="7"/>
    </w:p>
    <w:p>
      <w:pPr>
        <w:pStyle w:val="30"/>
        <w:rPr>
          <w:color w:val="000000" w:themeColor="text1"/>
          <w14:textFill>
            <w14:solidFill>
              <w14:schemeClr w14:val="tx1"/>
            </w14:solidFill>
          </w14:textFill>
        </w:rPr>
      </w:pPr>
      <w:bookmarkStart w:id="8" w:name="_Toc236641266"/>
      <w:r>
        <w:rPr>
          <w:color w:val="000000" w:themeColor="text1"/>
          <w14:textFill>
            <w14:solidFill>
              <w14:schemeClr w14:val="tx1"/>
            </w14:solidFill>
          </w14:textFill>
        </w:rPr>
        <w:t>园区发展历程</w:t>
      </w:r>
      <w:bookmarkEnd w:id="8"/>
    </w:p>
    <w:p>
      <w:pPr>
        <w:pStyle w:val="51"/>
        <w:ind w:firstLine="480"/>
        <w:rPr>
          <w:color w:val="000000" w:themeColor="text1"/>
          <w14:textFill>
            <w14:solidFill>
              <w14:schemeClr w14:val="tx1"/>
            </w14:solidFill>
          </w14:textFill>
        </w:rPr>
      </w:pPr>
      <w:bookmarkStart w:id="9" w:name="_Hlk184737854"/>
      <w:r>
        <w:rPr>
          <w:rFonts w:hint="eastAsia"/>
          <w:color w:val="000000" w:themeColor="text1"/>
          <w14:textFill>
            <w14:solidFill>
              <w14:schemeClr w14:val="tx1"/>
            </w14:solidFill>
          </w14:textFill>
        </w:rPr>
        <w:t>沅陵产业开发区原为沅陵工业园，经2007年第三期沅陵县委常委会议批准同意，并设立沅陵工业园管理委员会。2010年8月，沅陵县人民政府将沅陵工业园更名为湖南沅陵新能源新材料产业园。</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2011年1月，原湖南省环保厅以（湘环评〔2011〕5号）《关于湖南沅陵新能源新材料产业园项目环境影响报告书的批复》通过了湖南沅陵新能源新材料产业园环评的审批，确定园区选址位于沅陵县凉水井镇松山边村至欧家湾村之间，规划建设用地3.0km2，园区主导产业定位为新能源、新材料产业以及农副食品加工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2012年12月，湖南省发展和改革委员会批准《关于沅陵工业集中区发展规划（2011-2020）的批复》（湘发改地区〔2012〕2035号），园区更名为沅陵工业集中区，规划范围为东至常吉高速公路，西至高二组，南至丁家偏组、欧家湾村，卑职高速公路连接线，面积为300hm2。主导产业为新能源、新材料产业及农副食品加工业。该规划与原湖南省环保厅批复的规划（湘环评〔2011〕5号）一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2017年11月，根据湖南省发展和改革委员会《关于同意将辰州工业新区和麻溪铺有色金属产业园纳入沅陵工业集中区管理范畴的函》，同意将辰州工业新区和麻溪铺有色金属产业园纳入沅陵工业集中区管理范畴。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2018年，根据六部委公告2018年第4号《中国开发区审核公告目录》（2018年版），沅陵工业集中区核准面积为300.09hm2，主导产业为新材料、电气机械、食品。</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2021年6月，湖南省发展和改革委员会发布《关于印发湖南省十四五产业园区发展规划的通知》（湘发改地区〔2021〕394号），沅陵工业集中区主导产业为电子信息，特色产业为有色金属。</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2021年7月，湖南省发展和改革委员会发布了《关于长沙临空产业集聚区等44家省级工业集中区更名的通知》（湘发改地区〔2021〕517号），沅陵工业集中区更名为沅陵产业开发区。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2019年6月园区开始开展跟踪环评工作，并于2021年12月10日通过了湖南省生态环境厅组织的专家评审，2022年5月5日取得湖南省生态环境厅《关于沅陵产业开发区环境影响跟踪评价工作意见的函》（湘环评函〔2022〕16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2022年8月湖南省发展和改革委员会、湖南省自然资源厅《关于发布沅陵产业开发区边界面积及四至范围的通知》（湘发改园区〔2022〕601号），沅陵产业开发区核定的边界范围总面积为339.28公顷，其中区块一东至杭瑞高速公路以西，南至丁家偏组、欧家湾村，西至高二组，北至杭瑞高速公路连接线，面积312.37公顷；区块二东至沃溪三组，南至沃溪二、三组，西至鱼儿山八组，北至沃溪二组，面积26.91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2024年5月，经报湖南省人民政府同意，湖南省发展和改革委员会印发《关于祁东高新技术产业开发区等4家产业园区调区的复函》（湘发改函〔2024〕</w:t>
      </w:r>
      <w:r>
        <w:rPr>
          <w:rFonts w:hint="eastAsia"/>
          <w:color w:val="000000" w:themeColor="text1"/>
          <w:lang w:val="en-US"/>
          <w14:textFill>
            <w14:solidFill>
              <w14:schemeClr w14:val="tx1"/>
            </w14:solidFill>
          </w14:textFill>
        </w:rPr>
        <w:t>21</w:t>
      </w:r>
      <w:r>
        <w:rPr>
          <w:rFonts w:hint="eastAsia"/>
          <w:color w:val="000000" w:themeColor="text1"/>
          <w14:textFill>
            <w14:solidFill>
              <w14:schemeClr w14:val="tx1"/>
            </w14:solidFill>
          </w14:textFill>
        </w:rPr>
        <w:t>号）同意沅陵产业开发区调区方案，沅陵产业开发区调区后总面积为210.14公顷，包含两个区块，区块一面积183.23公顷，区块二26.91面积公顷。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2024年11月，湖南省发展和改革委员会下发《关于同意沅陵产业开发区开展扩区前期工作的函》（湘发改函〔2024〕59号），沅陵产业开发区满足《湖南省开发区调区扩区和退出管理办法》《规范产业园区扩区工作实施方案》的相关要求，相关指标基本符合开展扩区的条件，同意沅陵产业开发区开展扩区前期工作。</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在办理扩区用地审核的过程中，恰逢新一轮国家开发区目录修订，</w:t>
      </w:r>
      <w:r>
        <w:rPr>
          <w:rFonts w:hint="eastAsia"/>
          <w:color w:val="000000" w:themeColor="text1"/>
          <w14:textFill>
            <w14:solidFill>
              <w14:schemeClr w14:val="tx1"/>
            </w14:solidFill>
          </w14:textFill>
        </w:rPr>
        <w:t>修订工作中核定沅陵产业开发区边界范围总面积189.69公顷。</w:t>
      </w:r>
      <w:r>
        <w:rPr>
          <w:rFonts w:hint="eastAsia"/>
          <w:color w:val="000000" w:themeColor="text1"/>
          <w:lang w:val="en-US"/>
          <w14:textFill>
            <w14:solidFill>
              <w14:schemeClr w14:val="tx1"/>
            </w14:solidFill>
          </w14:textFill>
        </w:rPr>
        <w:t>2026年7月，</w:t>
      </w:r>
      <w:r>
        <w:rPr>
          <w:rFonts w:hint="eastAsia"/>
          <w:color w:val="000000" w:themeColor="text1"/>
          <w14:textFill>
            <w14:solidFill>
              <w14:schemeClr w14:val="tx1"/>
            </w14:solidFill>
          </w14:textFill>
        </w:rPr>
        <w:t>湖南省自然资源厅以《关于沅陵产业开发区扩区用地审核意见的函》划定了园区扩区范围。</w:t>
      </w:r>
      <w:r>
        <w:rPr>
          <w:rFonts w:hint="eastAsia"/>
          <w:color w:val="000000" w:themeColor="text1"/>
          <w:lang w:val="en-US"/>
          <w14:textFill>
            <w14:solidFill>
              <w14:schemeClr w14:val="tx1"/>
            </w14:solidFill>
          </w14:textFill>
        </w:rPr>
        <w:t>在核定面积189.69公顷的基础上，同意将 30.07公顷依扩区程序调入四至边界范围，扩区后园区总面积为 219.76公顷。</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园区发展历程一览表</w:t>
      </w:r>
    </w:p>
    <w:tbl>
      <w:tblPr>
        <w:tblStyle w:val="40"/>
        <w:tblW w:w="851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349"/>
        <w:gridCol w:w="651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时间</w:t>
            </w:r>
          </w:p>
        </w:tc>
        <w:tc>
          <w:tcPr>
            <w:tcW w:w="651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园区发展历程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2007年</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沅陵工业园设立沅陵工业园管理委员会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2010年8月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沅陵县人民政府将沅陵工业园更名为湖南沅陵新能源新材料产业园。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w:t>
            </w:r>
          </w:p>
        </w:tc>
        <w:tc>
          <w:tcPr>
            <w:tcW w:w="134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w:t>
            </w:r>
            <w:r>
              <w:rPr>
                <w:rFonts w:hint="eastAsia"/>
                <w:color w:val="000000" w:themeColor="text1"/>
                <w14:textFill>
                  <w14:solidFill>
                    <w14:schemeClr w14:val="tx1"/>
                  </w14:solidFill>
                </w14:textFill>
              </w:rPr>
              <w:t>11年1月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湖南省环保厅以（湘环评〔2011〕5号）《关于湖南沅陵新能源新材料产业园项目环境影响报告书的批复》通过了湖南沅陵新能源新材料产业园环评的审批。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4</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2012年12月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湖南省发展和改革委员会批准《关于沅陵工业集中区发展规划（2011-2020）的批复》（湘发改地区〔2012〕2035号），园区更名为沅陵工业集中区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134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201</w:t>
            </w:r>
            <w:r>
              <w:rPr>
                <w:rFonts w:hint="eastAsia"/>
                <w:color w:val="000000" w:themeColor="text1"/>
                <w14:textFill>
                  <w14:solidFill>
                    <w14:schemeClr w14:val="tx1"/>
                  </w14:solidFill>
                </w14:textFill>
              </w:rPr>
              <w:t>8年</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六部委公告2018年第4号《中国开发区审核公告目录》（2018年版），沅陵工业集中区核准面积为300.09公顷。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2021年7月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沅陵工业集中区更名为沅陵产业开发区。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2022年5月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湖南省生态环境厅以《关于沅陵产业开发区环境影响跟踪评价工作意见的函》（湘环评函〔2022〕16号）批复园区跟踪评价。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134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2022</w:t>
            </w:r>
            <w:r>
              <w:rPr>
                <w:rFonts w:hint="eastAsia"/>
                <w:color w:val="000000" w:themeColor="text1"/>
                <w14:textFill>
                  <w14:solidFill>
                    <w14:schemeClr w14:val="tx1"/>
                  </w14:solidFill>
                </w14:textFill>
              </w:rPr>
              <w:t>年</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《关于发布湖南省省级以上产业园区边界面积及四至范围目录的通知》（湘发改园区〔</w:t>
            </w:r>
            <w:r>
              <w:rPr>
                <w:color w:val="000000" w:themeColor="text1"/>
                <w14:textFill>
                  <w14:solidFill>
                    <w14:schemeClr w14:val="tx1"/>
                  </w14:solidFill>
                </w14:textFill>
              </w:rPr>
              <w:t>2022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601</w:t>
            </w:r>
            <w:r>
              <w:rPr>
                <w:rFonts w:hint="eastAsia"/>
                <w:color w:val="000000" w:themeColor="text1"/>
                <w14:textFill>
                  <w14:solidFill>
                    <w14:schemeClr w14:val="tx1"/>
                  </w14:solidFill>
                </w14:textFill>
              </w:rPr>
              <w:t>号），园区总面积339.28公顷，涉及2个区块。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2024年5月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园区调区方案获湖南省发改委批复湘发改函〔2024〕21号，调区后园区总面积为210.14公顷。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2024年11月</w:t>
            </w:r>
          </w:p>
        </w:tc>
        <w:tc>
          <w:tcPr>
            <w:tcW w:w="6516"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湖南省发改委同意园区开展扩区前期工作（湘发改函〔2024〕59号）。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5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w:t>
            </w:r>
          </w:p>
        </w:tc>
        <w:tc>
          <w:tcPr>
            <w:tcW w:w="13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2026年7月</w:t>
            </w:r>
          </w:p>
        </w:tc>
        <w:tc>
          <w:tcPr>
            <w:tcW w:w="6516" w:type="dxa"/>
            <w:vAlign w:val="center"/>
          </w:tcPr>
          <w:p>
            <w:pPr>
              <w:pStyle w:val="36"/>
              <w:jc w:val="left"/>
              <w:rPr>
                <w:color w:val="000000" w:themeColor="text1"/>
                <w:lang w:val="en-GB"/>
                <w14:textFill>
                  <w14:solidFill>
                    <w14:schemeClr w14:val="tx1"/>
                  </w14:solidFill>
                </w14:textFill>
              </w:rPr>
            </w:pPr>
            <w:r>
              <w:rPr>
                <w:rFonts w:hint="eastAsia"/>
                <w:color w:val="000000" w:themeColor="text1"/>
                <w14:textFill>
                  <w14:solidFill>
                    <w14:schemeClr w14:val="tx1"/>
                  </w14:solidFill>
                </w14:textFill>
              </w:rPr>
              <w:t>在办理扩区用地审核的过程中，恰逢新一轮国家开发区目录修订，修订工作中核定沅陵产业开发区边界范围总面积189.69公顷。2026年7月，湖南省自然资源厅以《关于沅陵产业开发区扩区用地审核意见的函》划定了园区扩区范围。在核定面积189.69公顷的基础上，同意将 30.07公顷依扩区程序调入四至边界范围，扩区后园区总面积为 219.76公顷。</w:t>
            </w:r>
          </w:p>
        </w:tc>
      </w:tr>
      <w:bookmarkEnd w:id="9"/>
    </w:tbl>
    <w:p>
      <w:pPr>
        <w:pStyle w:val="30"/>
        <w:rPr>
          <w:color w:val="000000" w:themeColor="text1"/>
          <w14:textFill>
            <w14:solidFill>
              <w14:schemeClr w14:val="tx1"/>
            </w14:solidFill>
          </w14:textFill>
        </w:rPr>
      </w:pPr>
      <w:bookmarkStart w:id="10" w:name="_Toc236641267"/>
      <w:r>
        <w:rPr>
          <w:rFonts w:hint="eastAsia"/>
          <w:color w:val="000000" w:themeColor="text1"/>
          <w14:textFill>
            <w14:solidFill>
              <w14:schemeClr w14:val="tx1"/>
            </w14:solidFill>
          </w14:textFill>
        </w:rPr>
        <w:t>扩区方案概述</w:t>
      </w:r>
      <w:bookmarkEnd w:id="10"/>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扩区的必要性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根据湖南省自然资源厅发布的《关于省级及以上园区2023年度土地集约利用评价结果公示》，沅陵产业开发区土地集约利用评价综合得分为90.33分，近三年无严重违法用地和违法建设事件。</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沅陵产业开发区项目储备暨拟建项目用地需求表分析，预计未来5年内园区产业发展需求用地达588亩（约39.2公顷）。现尚可供应工矿仓储用地面积不足，可开发利用土地不足，严重影响产业项目落地、制约园区发展。</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因此园区亟须通过扩区满足园区用地需求，一方面通过有效减轻园区发展负担解决扩区的瓶颈，强化用地保障，加快项目落地，建立市场优势；另一方面也是响应“五好”园区的建设要求，通过扩区能为沅陵开发区产业企业提供发展空间，有利于进一步发挥产业集聚效应，推进园区高质量发展。</w:t>
      </w:r>
    </w:p>
    <w:p>
      <w:pPr>
        <w:pStyle w:val="30"/>
        <w:rPr>
          <w:color w:val="000000" w:themeColor="text1"/>
          <w14:textFill>
            <w14:solidFill>
              <w14:schemeClr w14:val="tx1"/>
            </w14:solidFill>
          </w14:textFill>
        </w:rPr>
      </w:pPr>
      <w:bookmarkStart w:id="11" w:name="_Toc236641268"/>
      <w:r>
        <w:rPr>
          <w:color w:val="000000" w:themeColor="text1"/>
          <w14:textFill>
            <w14:solidFill>
              <w14:schemeClr w14:val="tx1"/>
            </w14:solidFill>
          </w14:textFill>
        </w:rPr>
        <w:t>规划概述</w:t>
      </w:r>
      <w:bookmarkEnd w:id="11"/>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总体布局</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规划范围整体由一区三园组成，一区即为沅陵产业开发区；三园即湖南（沅陵）台湾工业园（凉水井片区）、辰州工业新区产业园（官庄片区）和麻溪铺有色金属产业园（麻溪铺片区）。</w:t>
      </w:r>
    </w:p>
    <w:p>
      <w:pPr>
        <w:pStyle w:val="32"/>
        <w:rPr>
          <w:color w:val="000000" w:themeColor="text1"/>
          <w:lang w:val="en-GB"/>
          <w14:textFill>
            <w14:solidFill>
              <w14:schemeClr w14:val="tx1"/>
            </w14:solidFill>
          </w14:textFill>
        </w:rPr>
      </w:pPr>
      <w:r>
        <w:rPr>
          <w:rFonts w:hint="eastAsia"/>
          <w:color w:val="000000" w:themeColor="text1"/>
          <w:lang w:val="en-GB"/>
          <w14:textFill>
            <w14:solidFill>
              <w14:schemeClr w14:val="tx1"/>
            </w14:solidFill>
          </w14:textFill>
        </w:rPr>
        <w:t>产业定位</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①沅陵经济开发区（凉水井片）</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以电子信息智造为核心，重点发展电子信息智造与特色农副产品加工产业的县域产业发展增长极。</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②沅陵经济开发区（官庄片）</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大力发展金、锑、钨等系列有色金属冶炼及压延加工产业。打造全省、全国更具竞争力的稀贵金属有色金属冶炼及压延加工基地，建设国家稀贵金属精炼制造基地。</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③沅陵经济开发区（麻溪铺片）</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以废弃资源循环利用、锌基材料精深加工、稀贵金属综合回收产业为主的有色金属产业园区。</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发展规模</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（1）用地规模</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沅陵产业开发区规划总用地面积240.58公顷，其中：凉水井片用地面积183.23公顷，官庄片39.46公顷，麻溪铺片17.89公顷。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（2）人口规模</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由于园区管理政策调整园区功能调整为单纯的生产空间，园区范围内不再考虑居住人口与服务人口，仅有通勤人口存在。</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功能布局</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规划形成“一园两区 ”的功能结构。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电子信息产业区：以承接沿海地区产业转移为契机，在现有的产业基础上重点发展以电感、电 容、电阻等系列电子元器件产业和其上下游电子原材料、电子终端产业及相关配套产业。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食品加工产业区：重点打造品牌茶酒产业，大力发展沅陵大曲、碣滩茶、蔬菜、肉制品、松菌 油等农副食品加工，加快对传统 食品生产工艺等的升级改造。</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为企业用地，均为辰州矿业预留用地。</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为企业用地，均为山能环保企业用地。</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用地结构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凉水井</w:t>
      </w:r>
      <w:r>
        <w:rPr>
          <w:color w:val="000000" w:themeColor="text1"/>
          <w14:textFill>
            <w14:solidFill>
              <w14:schemeClr w14:val="tx1"/>
            </w14:solidFill>
          </w14:textFill>
        </w:rPr>
        <w:t>片区</w:t>
      </w:r>
      <w:r>
        <w:rPr>
          <w:rFonts w:hint="eastAsia"/>
          <w:color w:val="000000" w:themeColor="text1"/>
          <w14:textFill>
            <w14:solidFill>
              <w14:schemeClr w14:val="tx1"/>
            </w14:solidFill>
          </w14:textFill>
        </w:rPr>
        <w:t>规划</w:t>
      </w:r>
      <w:r>
        <w:rPr>
          <w:color w:val="000000" w:themeColor="text1"/>
          <w14:textFill>
            <w14:solidFill>
              <w14:schemeClr w14:val="tx1"/>
            </w14:solidFill>
          </w14:textFill>
        </w:rPr>
        <w:t>用地</w:t>
      </w:r>
      <w:r>
        <w:rPr>
          <w:rFonts w:hint="eastAsia"/>
          <w:color w:val="000000" w:themeColor="text1"/>
          <w14:textFill>
            <w14:solidFill>
              <w14:schemeClr w14:val="tx1"/>
            </w14:solidFill>
          </w14:textFill>
        </w:rPr>
        <w:t>结构详见下表。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凉水井片区用地规划一览表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50"/>
        <w:gridCol w:w="2983"/>
        <w:gridCol w:w="1335"/>
        <w:gridCol w:w="135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一级类</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二级类\三级类</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用地面积（ha)</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占比（%）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07居住用地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0.34</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070102二类城镇住宅用地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0.34</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10工矿用地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144.00</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78.59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100101一类工业用地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45.01</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24.56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100102二类工业用地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98.99</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54.02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11仓储用地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7.37</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1101物流仓储用地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7.37</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12交通运输用地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25.90</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1207城镇道路用地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24.30</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13.26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1208交通场站用地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1.60</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13公用设施用地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2.19</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1302排水用地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1.13</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1303供电用地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0.51</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1313其他公用设施用地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0.55</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14绿地与开敞空间用地</w:t>
            </w: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3.43</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9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1402防护绿地</w:t>
            </w: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3.43</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983" w:type="dxa"/>
            <w:vAlign w:val="center"/>
          </w:tcPr>
          <w:p>
            <w:pPr>
              <w:pStyle w:val="36"/>
              <w:rPr>
                <w:color w:val="000000" w:themeColor="text1"/>
                <w14:textFill>
                  <w14:solidFill>
                    <w14:schemeClr w14:val="tx1"/>
                  </w14:solidFill>
                </w14:textFill>
              </w:rPr>
            </w:pPr>
          </w:p>
        </w:tc>
        <w:tc>
          <w:tcPr>
            <w:tcW w:w="13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183.23</w:t>
            </w:r>
          </w:p>
        </w:tc>
        <w:tc>
          <w:tcPr>
            <w:tcW w:w="13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凉水井片区规划用地以工业用地为主，占比约78.59%，其中以二类工业用地为主，占片区面积比例54.02%。</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官庄</w:t>
      </w:r>
      <w:r>
        <w:rPr>
          <w:color w:val="000000" w:themeColor="text1"/>
          <w14:textFill>
            <w14:solidFill>
              <w14:schemeClr w14:val="tx1"/>
            </w14:solidFill>
          </w14:textFill>
        </w:rPr>
        <w:t>片区</w:t>
      </w:r>
      <w:r>
        <w:rPr>
          <w:rFonts w:hint="eastAsia"/>
          <w:color w:val="000000" w:themeColor="text1"/>
          <w14:textFill>
            <w14:solidFill>
              <w14:schemeClr w14:val="tx1"/>
            </w14:solidFill>
          </w14:textFill>
        </w:rPr>
        <w:t>规划</w:t>
      </w:r>
      <w:r>
        <w:rPr>
          <w:color w:val="000000" w:themeColor="text1"/>
          <w14:textFill>
            <w14:solidFill>
              <w14:schemeClr w14:val="tx1"/>
            </w14:solidFill>
          </w14:textFill>
        </w:rPr>
        <w:t>用地</w:t>
      </w:r>
      <w:r>
        <w:rPr>
          <w:rFonts w:hint="eastAsia"/>
          <w:color w:val="000000" w:themeColor="text1"/>
          <w14:textFill>
            <w14:solidFill>
              <w14:schemeClr w14:val="tx1"/>
            </w14:solidFill>
          </w14:textFill>
        </w:rPr>
        <w:t>结构详见下表。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官庄片区用地规划一览表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64"/>
        <w:gridCol w:w="2930"/>
        <w:gridCol w:w="1572"/>
        <w:gridCol w:w="135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一级类</w:t>
            </w: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二级类\三级类</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用地面积（ha)</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占比（%）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 工矿用地</w:t>
            </w: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p>
            <w:pPr>
              <w:jc w:val="center"/>
              <w:rPr>
                <w:color w:val="000000" w:themeColor="text1"/>
                <w14:textFill>
                  <w14:solidFill>
                    <w14:schemeClr w14:val="tx1"/>
                  </w14:solidFill>
                </w14:textFill>
              </w:rPr>
            </w:pP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35.41</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89.74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continue"/>
            <w:vAlign w:val="center"/>
          </w:tcPr>
          <w:p>
            <w:pPr>
              <w:pStyle w:val="36"/>
              <w:rPr>
                <w:color w:val="000000" w:themeColor="text1"/>
                <w14:textFill>
                  <w14:solidFill>
                    <w14:schemeClr w14:val="tx1"/>
                  </w14:solidFill>
                </w14:textFill>
              </w:rPr>
            </w:pP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100102 二类工业用地</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35.41</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89.74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 交通运输用地</w:t>
            </w: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2.67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continue"/>
            <w:vAlign w:val="center"/>
          </w:tcPr>
          <w:p>
            <w:pPr>
              <w:pStyle w:val="36"/>
              <w:rPr>
                <w:color w:val="000000" w:themeColor="text1"/>
                <w14:textFill>
                  <w14:solidFill>
                    <w14:schemeClr w14:val="tx1"/>
                  </w14:solidFill>
                </w14:textFill>
              </w:rPr>
            </w:pP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1207 城镇道路用地</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2.67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restart"/>
            <w:vAlign w:val="center"/>
          </w:tcPr>
          <w:p>
            <w:pPr>
              <w:pStyle w:val="36"/>
              <w:rPr>
                <w:color w:val="000000" w:themeColor="text1"/>
                <w14:textFill>
                  <w14:solidFill>
                    <w14:schemeClr w14:val="tx1"/>
                  </w14:solidFill>
                </w14:textFill>
              </w:rPr>
            </w:pP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 公用设施用地</w:t>
            </w: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1.36</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continue"/>
            <w:vAlign w:val="center"/>
          </w:tcPr>
          <w:p>
            <w:pPr>
              <w:pStyle w:val="36"/>
              <w:rPr>
                <w:color w:val="000000" w:themeColor="text1"/>
                <w14:textFill>
                  <w14:solidFill>
                    <w14:schemeClr w14:val="tx1"/>
                  </w14:solidFill>
                </w14:textFill>
              </w:rPr>
            </w:pP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1302 排水用地</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0.94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Merge w:val="continue"/>
            <w:vAlign w:val="center"/>
          </w:tcPr>
          <w:p>
            <w:pPr>
              <w:pStyle w:val="36"/>
              <w:rPr>
                <w:color w:val="000000" w:themeColor="text1"/>
                <w14:textFill>
                  <w14:solidFill>
                    <w14:schemeClr w14:val="tx1"/>
                  </w14:solidFill>
                </w14:textFill>
              </w:rPr>
            </w:pP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1304 供燃气用地</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0.99</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2.51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 留白用地</w:t>
            </w:r>
          </w:p>
        </w:tc>
        <w:tc>
          <w:tcPr>
            <w:tcW w:w="29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 留白用地</w:t>
            </w: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0.02</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66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930" w:type="dxa"/>
            <w:vAlign w:val="center"/>
          </w:tcPr>
          <w:p>
            <w:pPr>
              <w:pStyle w:val="36"/>
              <w:rPr>
                <w:color w:val="000000" w:themeColor="text1"/>
                <w14:textFill>
                  <w14:solidFill>
                    <w14:schemeClr w14:val="tx1"/>
                  </w14:solidFill>
                </w14:textFill>
              </w:rPr>
            </w:pPr>
          </w:p>
        </w:tc>
        <w:tc>
          <w:tcPr>
            <w:tcW w:w="15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39.46</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官庄片区规划用地结构详见下表。规划工业用地面积17.89公顷，占比100.00%，为二类工业用地。</w:t>
      </w:r>
    </w:p>
    <w:p>
      <w:pPr>
        <w:pStyle w:val="52"/>
        <w:rPr>
          <w:color w:val="000000" w:themeColor="text1"/>
          <w:lang w:val="en-GB"/>
          <w14:textFill>
            <w14:solidFill>
              <w14:schemeClr w14:val="tx1"/>
            </w14:solidFill>
          </w14:textFill>
        </w:rPr>
      </w:pPr>
      <w:r>
        <w:rPr>
          <w:rFonts w:hint="eastAsia"/>
          <w:color w:val="000000" w:themeColor="text1"/>
          <w:lang w:val="en-GB"/>
          <w14:textFill>
            <w14:solidFill>
              <w14:schemeClr w14:val="tx1"/>
            </w14:solidFill>
          </w14:textFill>
        </w:rPr>
        <w:t>麻溪铺片区用地规划一览表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2802"/>
        <w:gridCol w:w="1942"/>
        <w:gridCol w:w="17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99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一级类</w:t>
            </w:r>
          </w:p>
        </w:tc>
        <w:tc>
          <w:tcPr>
            <w:tcW w:w="280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二级类\三级类</w:t>
            </w:r>
          </w:p>
        </w:tc>
        <w:tc>
          <w:tcPr>
            <w:tcW w:w="19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用地面积（ha)</w:t>
            </w:r>
          </w:p>
        </w:tc>
        <w:tc>
          <w:tcPr>
            <w:tcW w:w="178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占比（%）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993"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 工矿用地</w:t>
            </w:r>
          </w:p>
        </w:tc>
        <w:tc>
          <w:tcPr>
            <w:tcW w:w="280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9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17.89</w:t>
            </w:r>
          </w:p>
        </w:tc>
        <w:tc>
          <w:tcPr>
            <w:tcW w:w="178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993" w:type="dxa"/>
            <w:vMerge w:val="continue"/>
            <w:vAlign w:val="center"/>
          </w:tcPr>
          <w:p>
            <w:pPr>
              <w:pStyle w:val="36"/>
              <w:rPr>
                <w:color w:val="000000" w:themeColor="text1"/>
                <w14:textFill>
                  <w14:solidFill>
                    <w14:schemeClr w14:val="tx1"/>
                  </w14:solidFill>
                </w14:textFill>
              </w:rPr>
            </w:pPr>
          </w:p>
        </w:tc>
        <w:tc>
          <w:tcPr>
            <w:tcW w:w="280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100102 二类工业用地</w:t>
            </w:r>
          </w:p>
        </w:tc>
        <w:tc>
          <w:tcPr>
            <w:tcW w:w="19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17.89</w:t>
            </w:r>
          </w:p>
        </w:tc>
        <w:tc>
          <w:tcPr>
            <w:tcW w:w="178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99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802" w:type="dxa"/>
            <w:vAlign w:val="center"/>
          </w:tcPr>
          <w:p>
            <w:pPr>
              <w:pStyle w:val="36"/>
              <w:rPr>
                <w:color w:val="000000" w:themeColor="text1"/>
                <w14:textFill>
                  <w14:solidFill>
                    <w14:schemeClr w14:val="tx1"/>
                  </w14:solidFill>
                </w14:textFill>
              </w:rPr>
            </w:pPr>
          </w:p>
        </w:tc>
        <w:tc>
          <w:tcPr>
            <w:tcW w:w="19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17.89</w:t>
            </w:r>
          </w:p>
        </w:tc>
        <w:tc>
          <w:tcPr>
            <w:tcW w:w="178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（4）合计</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沅陵县产业开发区规划用地面积240.58公顷，规划工矿用地面积197.30公顷，占比82.01%；规划物流仓储用地面积7.37公顷，占比3.06%。</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沅陵县产业开发区规划用地结构表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50"/>
        <w:gridCol w:w="2862"/>
        <w:gridCol w:w="1454"/>
        <w:gridCol w:w="135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一级类</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二级类\三级类</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用地面积（ha)</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占比（%）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07 居住用地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0.34</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070102 二类城镇住宅用地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0.34</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 工矿用地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197.3</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82.01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100101 一类工业用地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45.01</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18.71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100102 二类工业用地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152.29</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63.30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11仓储用地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7.37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1101物流仓储用地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7.37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 交通运输用地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28.57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1207 城镇道路用地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26.97</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11.21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1208 交通场站用地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 公用设施用地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3.55</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1302 排水用地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1303 供电用地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0.51</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0.21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1304 供燃气用地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0.99</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0.41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1313 其他公用设施用地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0.55</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0.23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 绿地与开敞空间用地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小计</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3.43</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Merge w:val="continue"/>
            <w:vAlign w:val="center"/>
          </w:tcPr>
          <w:p>
            <w:pPr>
              <w:pStyle w:val="36"/>
              <w:rPr>
                <w:color w:val="000000" w:themeColor="text1"/>
                <w:sz w:val="24"/>
                <w14:textFill>
                  <w14:solidFill>
                    <w14:schemeClr w14:val="tx1"/>
                  </w14:solidFill>
                </w14:textFill>
              </w:rPr>
            </w:pP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1402 防护绿地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3.43</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 留白用地</w:t>
            </w:r>
          </w:p>
        </w:tc>
        <w:tc>
          <w:tcPr>
            <w:tcW w:w="28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 留白用地</w:t>
            </w: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0.02</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0.01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5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862" w:type="dxa"/>
            <w:vAlign w:val="center"/>
          </w:tcPr>
          <w:p>
            <w:pPr>
              <w:pStyle w:val="36"/>
              <w:rPr>
                <w:color w:val="000000" w:themeColor="text1"/>
                <w14:textFill>
                  <w14:solidFill>
                    <w14:schemeClr w14:val="tx1"/>
                  </w14:solidFill>
                </w14:textFill>
              </w:rPr>
            </w:pPr>
          </w:p>
        </w:tc>
        <w:tc>
          <w:tcPr>
            <w:tcW w:w="14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240.58</w:t>
            </w:r>
          </w:p>
        </w:tc>
        <w:tc>
          <w:tcPr>
            <w:tcW w:w="135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100.00</w:t>
            </w:r>
          </w:p>
        </w:tc>
      </w:tr>
    </w:tbl>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交通规划</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区域交通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周边涉及到的高速公路共计3条，分别是杭瑞高速、G241（规划）和G319。其中杭瑞高速位于园区规划范围外南侧，与园区相距不到1公里左右，通过园区北侧沅陵大道与之连接。G319位于园区西侧，与园区相距3公里左右，通过创业路与之相接。G241（规划）位于园区东侧，与园区相距5公里左右，通过沅陵大道相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官庄片区周边涉及到的高速公路共计2条，分别是杭瑞高速。其中杭瑞高速位于园区规划范围外东侧，与园区相距不到4.3公里左右，通过园区东侧高华路与之连接。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麻溪铺片区周边涉及到1条高速公路和1条国道，分别是杭瑞高速和G319。其中杭瑞高速和G319位于园区规划范围外南侧，与园区相距不到1公里左右，通过园区南侧市政路与之连接。</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区内交通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规划范围内主干路网骨架已初步建设成型，本次规划落实总规、延续原控规，形成“一横两纵 ”的路网结构。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“一横 ”：沅陵大道；</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“两纵 ”：工业大道、兴民路。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相关支路有创业路、振兴路、高新路、工业路。</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规划形成“一横一纵 ”的路网骨架，其中：</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“一横 ”：高华路；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“一纵 ”：矿业路。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支路有矿业路、高华路。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片区范围为企业用地，企业内部用地由企业自行规划。</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给水规划</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根据建设用地用水指标预测法，预测片区总水量为1.2万m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给水管道沿道路敷设，布置成环状，给水管网供水压力要求最低不小于0.28Mpa。配水管网敷设到整个规划区，同时配水管网的敷设应结合城市道路建设进度进行修建。干管位置尽可能布置在两侧用水量较大的道路上，以减少配水管数量。给水管径为DN300~DN300。</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根据建设用地用水指标预测法，预测片区总水量为0.26万m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给水管道沿道路敷设，布置成环状，给水管网供水压力要求最低不小于0.28Mpa。配水管网敷设到整个规划区，同时配水管网的敷设应结合城市道路建设进度进行修建。干管位置尽可能布置在两侧用水量较大的道路上，以减少配水管数量。给水管径为DN300。</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根据建设用地用水指标预测法，预测片区总水量为0.12万m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给水管道沿道路敷设，布置成环状，给水管网供水压力要求最低不小于0.28Mpa。配水管网敷设到整个规划区，同时配水管网的敷设应结合城市道路建设进度进行修建。干管位置尽可能布置在两侧用水量较大的道路上，以减少配水管数量。给水管径为DN300。</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排水规划</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规划采用雨污分流制。片区污水排放量约0.96万m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/d。规划近期将区域内的污水全部收集输送至园区现有的污水厂进行处理。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根据园区现状及排水专项规划，规划在工业路与振兴路交叉口东北角规划一座污水处理厂，规划规模为1500吨/天，占地0.12公顷。</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规划采用雨污分流制。按0.8的排污系数，片区污水排放量约0.22万m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/d。规划近期将区域内的污水全部收集输送至园区现有的污水厂进行处理。</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规划采用雨污分流制。规划将区域内的污水，生产用水全部循环使用，生活污水全部收集输送至乡镇污水厂进行处理。片区污水排放量约0.11万m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电力规划</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根据《城市电力规划规范》（GB/50293-2014）采用分类用地综合指标法，预测片区用电负荷为7.34万kW。本片区区域内电源由110kV由砂子坳变电站和110kV蓝溪变电站提供。</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根据《城市电力规划规范》（GB/50293-2014）采用分类用地综合指标法，预测片区用电负荷为1.8万kW。本片区区域内电源由110KV官庄变提供。</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根据《城市电力规划规范》（GB/50293-2014）采用分类用地综合指标法，预测片区用电负荷为0.89万kW。本片区区域内电源由110KV庄田变提供。</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燃气规划</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利用沅陵县燃气站对片区供气。在片区内设置中压燃气调压站，将中压A级燃气调压为中压B级燃气，向片区用户和工业企业供应燃气。片区建设环状中压B一级燃气管网，由箱式调压器调为低压后送入户内管道。燃气干管主要沿生活区敷设，燃气干管道规格为DN200~DN400。</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位于春华路南侧规划燃气供应站，用地规模约0.98公顷。向片区用户和工业企业供应燃气。片区内燃气靠瓶装送入户内。</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规划利用麻溪铺镇燃气站对片区供气。片区内燃气靠瓶装送入户内。</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环境保护规划</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空气环境质量：园区企业排放的工业废气、烟尘、粉尘等全部达标排放，环境空气质量稳定达到《环境空气质量标准》（GB3095-2012）二级标准。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水环境质量：园区水污染企业污水排放达到相关行业排放标准或《污水综合排放标准》GB8978-1996标准，地表水水质执行《地表水环境质量标准》（GB3838-2002）Ⅲ类标准。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声环境质量：噪声强度控制应符合《声环境质量标准》（GB3096-2008）中的相关标准。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固体废弃物：工业固体废弃物综合治理率达到100%，危险废物处理率达到100%，生活垃圾无害化处理率达到100%。</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拆迁安置规划</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（1）凉水井片</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园区周边已提前规划有高岩安置区、刘家组安置区、岩湾安置区、工业新村安置区。可充分容纳拆迁安置人口。</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（2）官庄片</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本次新增建设用地无居住人口，片区无安置需求。</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（3）麻溪铺片</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本次规划范围内，无需要安置人口。</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规划生活安置地共4处，用地面积为8.74公顷，其中0.33公顷安置用地位于规划区范围内。</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沅陵产业开发区（凉水井片）安置用地规划一览表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934"/>
        <w:gridCol w:w="806"/>
        <w:gridCol w:w="1060"/>
        <w:gridCol w:w="1628"/>
        <w:gridCol w:w="252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67" w:type="dxa"/>
            <w:vAlign w:val="center"/>
          </w:tcPr>
          <w:p>
            <w:pPr>
              <w:pStyle w:val="36"/>
              <w:rPr>
                <w:snapToGrid/>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snapToGrid/>
                <w:color w:val="000000" w:themeColor="text1"/>
                <w14:textFill>
                  <w14:solidFill>
                    <w14:schemeClr w14:val="tx1"/>
                  </w14:solidFill>
                </w14:textFill>
              </w:rPr>
              <w:t>名称</w:t>
            </w:r>
          </w:p>
        </w:tc>
        <w:tc>
          <w:tcPr>
            <w:tcW w:w="93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计划安置户数</w:t>
            </w:r>
          </w:p>
        </w:tc>
        <w:tc>
          <w:tcPr>
            <w:tcW w:w="8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已安置户数</w:t>
            </w:r>
          </w:p>
        </w:tc>
        <w:tc>
          <w:tcPr>
            <w:tcW w:w="106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可安置户数</w:t>
            </w:r>
          </w:p>
        </w:tc>
        <w:tc>
          <w:tcPr>
            <w:tcW w:w="16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用地面积（m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p>
        </w:tc>
        <w:tc>
          <w:tcPr>
            <w:tcW w:w="25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6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高岩安置区</w:t>
            </w:r>
          </w:p>
        </w:tc>
        <w:tc>
          <w:tcPr>
            <w:tcW w:w="93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31</w:t>
            </w:r>
          </w:p>
        </w:tc>
        <w:tc>
          <w:tcPr>
            <w:tcW w:w="8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31</w:t>
            </w:r>
          </w:p>
        </w:tc>
        <w:tc>
          <w:tcPr>
            <w:tcW w:w="106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c>
          <w:tcPr>
            <w:tcW w:w="16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8316.9</w:t>
            </w:r>
          </w:p>
        </w:tc>
        <w:tc>
          <w:tcPr>
            <w:tcW w:w="2528" w:type="dxa"/>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6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刘家组安置区</w:t>
            </w:r>
          </w:p>
        </w:tc>
        <w:tc>
          <w:tcPr>
            <w:tcW w:w="93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89</w:t>
            </w:r>
          </w:p>
        </w:tc>
        <w:tc>
          <w:tcPr>
            <w:tcW w:w="8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33</w:t>
            </w:r>
          </w:p>
        </w:tc>
        <w:tc>
          <w:tcPr>
            <w:tcW w:w="106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56</w:t>
            </w:r>
          </w:p>
        </w:tc>
        <w:tc>
          <w:tcPr>
            <w:tcW w:w="16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16474.27</w:t>
            </w:r>
          </w:p>
        </w:tc>
        <w:tc>
          <w:tcPr>
            <w:tcW w:w="2528" w:type="dxa"/>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6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岩湾安置区</w:t>
            </w:r>
          </w:p>
        </w:tc>
        <w:tc>
          <w:tcPr>
            <w:tcW w:w="93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70</w:t>
            </w:r>
          </w:p>
        </w:tc>
        <w:tc>
          <w:tcPr>
            <w:tcW w:w="8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42</w:t>
            </w:r>
          </w:p>
        </w:tc>
        <w:tc>
          <w:tcPr>
            <w:tcW w:w="106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c>
          <w:tcPr>
            <w:tcW w:w="16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25957.09</w:t>
            </w:r>
          </w:p>
        </w:tc>
        <w:tc>
          <w:tcPr>
            <w:tcW w:w="25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3399.53m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 xml:space="preserve"> 位于规划区内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6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工业新村安置区</w:t>
            </w:r>
          </w:p>
        </w:tc>
        <w:tc>
          <w:tcPr>
            <w:tcW w:w="93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78</w:t>
            </w:r>
          </w:p>
        </w:tc>
        <w:tc>
          <w:tcPr>
            <w:tcW w:w="8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106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68</w:t>
            </w:r>
          </w:p>
        </w:tc>
        <w:tc>
          <w:tcPr>
            <w:tcW w:w="16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27639.84</w:t>
            </w:r>
          </w:p>
        </w:tc>
        <w:tc>
          <w:tcPr>
            <w:tcW w:w="2528" w:type="dxa"/>
            <w:vAlign w:val="center"/>
          </w:tcPr>
          <w:p>
            <w:pPr>
              <w:pStyle w:val="36"/>
              <w:rPr>
                <w:color w:val="000000" w:themeColor="text1"/>
                <w14:textFill>
                  <w14:solidFill>
                    <w14:schemeClr w14:val="tx1"/>
                  </w14:solidFill>
                </w14:textFill>
              </w:rPr>
            </w:pPr>
          </w:p>
        </w:tc>
      </w:tr>
    </w:tbl>
    <w:p>
      <w:pPr>
        <w:pStyle w:val="30"/>
        <w:rPr>
          <w:color w:val="000000" w:themeColor="text1"/>
          <w14:textFill>
            <w14:solidFill>
              <w14:schemeClr w14:val="tx1"/>
            </w14:solidFill>
          </w14:textFill>
        </w:rPr>
      </w:pPr>
      <w:bookmarkStart w:id="12" w:name="_Toc236641269"/>
      <w:r>
        <w:rPr>
          <w:rFonts w:hint="eastAsia"/>
          <w:color w:val="000000" w:themeColor="text1"/>
          <w14:textFill>
            <w14:solidFill>
              <w14:schemeClr w14:val="tx1"/>
            </w14:solidFill>
          </w14:textFill>
        </w:rPr>
        <w:t>产业发展的重点和方向</w:t>
      </w:r>
      <w:bookmarkEnd w:id="12"/>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各片区产业发展方向</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沅陵产业开发区作为市产业发展的重要区域，重点构建产业集 聚、用地集约、功能明确、分工协调、竞争有序的“一区三园”的功能规划结构。规划形成以有色金属冶炼和压延加工业为主导、以计算机、通信和其他电子设备制造业为特色产业的发展格局。</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湖南（沅陵）台湾工业园，主要发展电子信息产业、农副食品加工业等产业及相关的一些保障服务业。</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辰州工业新区产业园，主要发展有色金属冶炼及压延加工产业，以及相关的一些保障服务业。依托现有辰州矿业等大型企业，大力发展金、锑、钨等系列有色金属冶炼及压延加工产业。</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麻溪铺有色金属产业园，主要充分发挥山能环保有色金属废弃资源循环利用已有技术优势，结合当地矿产资源优势，重点发展锌基材料精深加工、稀贵金属综合回收产业。</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各片区产业定位详见下表。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各片区产业发展定位</w:t>
      </w:r>
    </w:p>
    <w:tbl>
      <w:tblPr>
        <w:tblStyle w:val="40"/>
        <w:tblW w:w="852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82"/>
        <w:gridCol w:w="533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18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片区名称</w:t>
            </w:r>
          </w:p>
        </w:tc>
        <w:tc>
          <w:tcPr>
            <w:tcW w:w="533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产业定位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18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湖南（沅陵）台湾工业园</w:t>
            </w:r>
          </w:p>
        </w:tc>
        <w:tc>
          <w:tcPr>
            <w:tcW w:w="533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电子信息产业、农副食品加工业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18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辰州工业新区产业园区</w:t>
            </w:r>
          </w:p>
        </w:tc>
        <w:tc>
          <w:tcPr>
            <w:tcW w:w="533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有色金属冶炼及压延加工产业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318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麻溪铺有色金属产业园</w:t>
            </w:r>
          </w:p>
        </w:tc>
        <w:tc>
          <w:tcPr>
            <w:tcW w:w="533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锌基材料精深加工、稀贵金属综合回收产业</w:t>
            </w:r>
          </w:p>
        </w:tc>
      </w:tr>
    </w:tbl>
    <w:p>
      <w:pPr>
        <w:pStyle w:val="32"/>
        <w:rPr>
          <w:color w:val="000000" w:themeColor="text1"/>
          <w14:textFill>
            <w14:solidFill>
              <w14:schemeClr w14:val="tx1"/>
            </w14:solidFill>
          </w14:textFill>
        </w:rPr>
      </w:pPr>
      <w:r>
        <w:rPr>
          <w:color w:val="000000" w:themeColor="text1"/>
          <w14:textFill>
            <w14:solidFill>
              <w14:schemeClr w14:val="tx1"/>
            </w14:solidFill>
          </w14:textFill>
        </w:rPr>
        <w:t>主导及特色产业</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color w:val="000000" w:themeColor="text1"/>
          <w:lang w:val="en-US"/>
          <w14:textFill>
            <w14:solidFill>
              <w14:schemeClr w14:val="tx1"/>
            </w14:solidFill>
          </w14:textFill>
        </w:rPr>
        <w:t>1</w:t>
      </w:r>
      <w:r>
        <w:rPr>
          <w:color w:val="000000" w:themeColor="text1"/>
          <w14:textFill>
            <w14:solidFill>
              <w14:schemeClr w14:val="tx1"/>
            </w14:solidFill>
          </w14:textFill>
        </w:rPr>
        <w:t>）有色金属冶炼及压延加工产业</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有色金属冶炼及压延加工产业</w:t>
      </w:r>
      <w:r>
        <w:rPr>
          <w:color w:val="000000" w:themeColor="text1"/>
          <w:lang w:val="en-US"/>
          <w14:textFill>
            <w14:solidFill>
              <w14:schemeClr w14:val="tx1"/>
            </w14:solidFill>
          </w14:textFill>
        </w:rPr>
        <w:t>是本次规划的主导产业。本次拟</w:t>
      </w:r>
      <w:r>
        <w:rPr>
          <w:color w:val="000000" w:themeColor="text1"/>
          <w14:textFill>
            <w14:solidFill>
              <w14:schemeClr w14:val="tx1"/>
            </w14:solidFill>
          </w14:textFill>
        </w:rPr>
        <w:t>依托辰州矿业重点发展金、钨、锑等有色金属冶炼及压延加工，同时向有色金属精深加工领域不断延伸；以山能环保为核心，构建“废锌料－湿法炼锌－渣资源化”全链条。到2030年，形成“3主（金钨锑）1辅（锌）”产业格局。</w:t>
      </w:r>
    </w:p>
    <w:p>
      <w:pPr>
        <w:pStyle w:val="51"/>
        <w:ind w:firstLine="480"/>
        <w:rPr>
          <w:color w:val="000000" w:themeColor="text1"/>
          <w:lang w:val="en-US"/>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①</w:t>
      </w:r>
      <w:r>
        <w:rPr>
          <w:color w:val="000000" w:themeColor="text1"/>
          <w:lang w:val="en-US"/>
          <w14:textFill>
            <w14:solidFill>
              <w14:schemeClr w14:val="tx1"/>
            </w14:solidFill>
          </w14:textFill>
        </w:rPr>
        <w:t>金冶炼及精深加工</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重点发展9999标准金锭、金砖、金条等产品，到2030年实现产能5吨左右。同时向高纯纳米金粉产品领域延伸，配套开发金合金焊料、金基靶材等电子有色金属冶炼及压延加工。基于与湖南大学材料学院共建的“稀贵金属高纯制备实验室”已突破的超声雾化提纯技术，对现有纳米金粉产线升级提纯，对接长沙半导体产业链，发展4N8超高纯金线（纯度99.998%），广泛应用于半导体键合丝。利用现有纳米金粉产线分装，发展纳米金免疫层析试剂、医用金合金种植牙等医疗健康黄金制品。利用与中南大学合作的“金－二氧化钛复合催化剂”专利技术，发展金催化净化剂等功能材料产品。</w:t>
      </w:r>
    </w:p>
    <w:p>
      <w:pPr>
        <w:pStyle w:val="51"/>
        <w:ind w:firstLine="480"/>
        <w:rPr>
          <w:color w:val="000000" w:themeColor="text1"/>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②</w:t>
      </w:r>
      <w:r>
        <w:rPr>
          <w:color w:val="000000" w:themeColor="text1"/>
          <w14:textFill>
            <w14:solidFill>
              <w14:schemeClr w14:val="tx1"/>
            </w14:solidFill>
          </w14:textFill>
        </w:rPr>
        <w:t>钨冶炼及精深加工</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以辰州矿业5000吨/年钨冶炼产能为基础，发展钨锭等初加工产品。推动钨矿精深加工，重点发展仲钨酸铵等钨工业中间产品，积极延伸下游产业链，向功能性材料产业延伸，加快高端钨粉材料生产线建设，发展应用于精密硬质合金、钨丝、钨钢、电子信息等产业的纳米钨粉、亚微米级碳化钨粉高性能材料。</w:t>
      </w:r>
    </w:p>
    <w:p>
      <w:pPr>
        <w:pStyle w:val="51"/>
        <w:ind w:firstLine="480"/>
        <w:rPr>
          <w:color w:val="000000" w:themeColor="text1"/>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③</w:t>
      </w:r>
      <w:r>
        <w:rPr>
          <w:color w:val="000000" w:themeColor="text1"/>
          <w14:textFill>
            <w14:solidFill>
              <w14:schemeClr w14:val="tx1"/>
            </w14:solidFill>
          </w14:textFill>
        </w:rPr>
        <w:t>锑冶炼及精深加工</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依托辰州矿业2万吨/年锑冶炼产能（全球锑品产能占比6%）、锑白纯度99.85%技术优势，以及官庄矿区18万吨锑金属储量（占全国12%），重点发展四大产业方向，打造锑基战略材料高地。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新能源锑材料。依托辰州矿业首创的“锑－碳纳米管复合球”制备工艺，重点发展钠离子电池锑基负极材料，光伏用锑化镉薄膜电池，开发环保型锑系阻燃母粒（用于新能源电池壳料）对接万亿级储能市场。</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半导体锑基材料。引进中科院半导体所“垂直布里奇曼法”技术，对接长沙润泽光电（红外热像仪）、北方夜视科技等企业，重点发展锑化铟单晶、锑基硫属玻璃等锑基材料，填补国内产业链空白。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生物医药锑制品。聚焦技术创新突破，开拓高附加值产品赛道，通过将传统葡萄糖酸锑钠升级为“锑－脂质体偶联药物”技术升级，重点发展靶向锑药物载体、医用锑合金缝线等产品。</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极端环境功能材料。探索军工、航天等领域特需的锑基超高温合金、锑系催化、阻燃材料制造、锑化镓微波器件等高端功能性材料发展，持续加大技术创新力度，突破“卡脖子”技术。在开发区建设锑化镓专用封装厂，对接长沙集成电路产业链，实现区域产业联动。</w:t>
      </w:r>
    </w:p>
    <w:p>
      <w:pPr>
        <w:pStyle w:val="51"/>
        <w:ind w:firstLine="480"/>
        <w:rPr>
          <w:color w:val="000000" w:themeColor="text1"/>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④</w:t>
      </w:r>
      <w:r>
        <w:rPr>
          <w:color w:val="000000" w:themeColor="text1"/>
          <w14:textFill>
            <w14:solidFill>
              <w14:schemeClr w14:val="tx1"/>
            </w14:solidFill>
          </w14:textFill>
        </w:rPr>
        <w:t>有色金属废弃资源循环利用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充分发挥山能环保有色金属废弃资源循环利用已有技术优势，结合当地矿产资源优势，重点发展</w:t>
      </w:r>
      <w:r>
        <w:rPr>
          <w:color w:val="000000" w:themeColor="text1"/>
          <w:lang w:val="en-US"/>
          <w14:textFill>
            <w14:solidFill>
              <w14:schemeClr w14:val="tx1"/>
            </w14:solidFill>
          </w14:textFill>
        </w:rPr>
        <w:t>如下</w:t>
      </w:r>
      <w:r>
        <w:rPr>
          <w:color w:val="000000" w:themeColor="text1"/>
          <w14:textFill>
            <w14:solidFill>
              <w14:schemeClr w14:val="tx1"/>
            </w14:solidFill>
          </w14:textFill>
        </w:rPr>
        <w:t>产业领域：</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锌基材料精深加工。依托山能环保现有的锌锭、氧化锌生产技术，延伸生产热镀锌合金、锌铝合金等防腐材料，配套汽车、船舶产业需求。</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稀贵金属综合回收。联动辰州矿业共建贵金属再生中心，将锌渣与含金氰化尾渣共处理，实现金、锑等二次回收，形成“锌渣提稀散+尾渣提金银”双循环。</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color w:val="000000" w:themeColor="text1"/>
          <w:lang w:val="en-US"/>
          <w14:textFill>
            <w14:solidFill>
              <w14:schemeClr w14:val="tx1"/>
            </w14:solidFill>
          </w14:textFill>
        </w:rPr>
        <w:t>2</w:t>
      </w:r>
      <w:r>
        <w:rPr>
          <w:color w:val="000000" w:themeColor="text1"/>
          <w14:textFill>
            <w14:solidFill>
              <w14:schemeClr w14:val="tx1"/>
            </w14:solidFill>
          </w14:textFill>
        </w:rPr>
        <w:t>）计算机、通信和其他电子设备制造业</w:t>
      </w:r>
    </w:p>
    <w:p>
      <w:pPr>
        <w:pStyle w:val="51"/>
        <w:ind w:firstLine="480"/>
        <w:rPr>
          <w:color w:val="000000" w:themeColor="text1"/>
          <w14:textFill>
            <w14:solidFill>
              <w14:schemeClr w14:val="tx1"/>
            </w14:solidFill>
          </w14:textFill>
        </w:rPr>
      </w:pPr>
      <w:r>
        <w:rPr>
          <w:color w:val="000000" w:themeColor="text1"/>
          <w:lang w:val="en-US"/>
          <w14:textFill>
            <w14:solidFill>
              <w14:schemeClr w14:val="tx1"/>
            </w14:solidFill>
          </w14:textFill>
        </w:rPr>
        <w:t>计算机、通信和其他电子设备制造业是本次规划的特色产业。该产业</w:t>
      </w:r>
      <w:r>
        <w:rPr>
          <w:color w:val="000000" w:themeColor="text1"/>
          <w14:textFill>
            <w14:solidFill>
              <w14:schemeClr w14:val="tx1"/>
            </w14:solidFill>
          </w14:textFill>
        </w:rPr>
        <w:t>立足上下游产业链延伸，以承接沿海地区产业转移为契机，在现有的产业基础上重点发展以电感、电容、电阻等系列电子元器件产业和其上下游电子原材料、电子终端产业及相关配套产业。</w:t>
      </w:r>
    </w:p>
    <w:p>
      <w:pPr>
        <w:pStyle w:val="51"/>
        <w:ind w:firstLine="480"/>
        <w:rPr>
          <w:color w:val="000000" w:themeColor="text1"/>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①</w:t>
      </w:r>
      <w:r>
        <w:rPr>
          <w:color w:val="000000" w:themeColor="text1"/>
          <w14:textFill>
            <w14:solidFill>
              <w14:schemeClr w14:val="tx1"/>
            </w14:solidFill>
          </w14:textFill>
        </w:rPr>
        <w:t>电子原材料</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发展以磁芯、磁环、软磁体等磁性材料及粉体材料等为主的电子原材料产业；大力引进以金属粉体、磁芯、磁环为主的电子原材料及配套项目。</w:t>
      </w:r>
    </w:p>
    <w:p>
      <w:pPr>
        <w:pStyle w:val="51"/>
        <w:ind w:firstLine="480"/>
        <w:rPr>
          <w:color w:val="000000" w:themeColor="text1"/>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②</w:t>
      </w:r>
      <w:r>
        <w:rPr>
          <w:color w:val="000000" w:themeColor="text1"/>
          <w14:textFill>
            <w14:solidFill>
              <w14:schemeClr w14:val="tx1"/>
            </w14:solidFill>
          </w14:textFill>
        </w:rPr>
        <w:t>电子元器件</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加快以电感、电容、电阻为主的电子元器件产业发展和电子元器件产业区建设，重点发展高性能薄膜电容、高端电容器、高精度片式电感、高端磁体等。</w:t>
      </w:r>
    </w:p>
    <w:p>
      <w:pPr>
        <w:pStyle w:val="32"/>
        <w:rPr>
          <w:color w:val="000000" w:themeColor="text1"/>
          <w14:textFill>
            <w14:solidFill>
              <w14:schemeClr w14:val="tx1"/>
            </w14:solidFill>
          </w14:textFill>
        </w:rPr>
      </w:pPr>
      <w:r>
        <w:rPr>
          <w:color w:val="000000" w:themeColor="text1"/>
          <w14:textFill>
            <w14:solidFill>
              <w14:schemeClr w14:val="tx1"/>
            </w14:solidFill>
          </w14:textFill>
        </w:rPr>
        <w:t>辅助发展产业</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园区以农副食品加工产业作为辅助发展产业。重点打造品牌茶酒产业，大力发展沅陵大曲、碣滩茶、蔬菜、肉制品、松菌油等农副食品加工，加快对传统食品生产工艺等的升级改造，打造新一批食品品牌，同时积极引入实力企业，并利用电子商务，扶持食品行业线上销售。</w:t>
      </w:r>
    </w:p>
    <w:p>
      <w:pPr>
        <w:pStyle w:val="51"/>
        <w:ind w:firstLine="480"/>
        <w:rPr>
          <w:color w:val="000000" w:themeColor="text1"/>
          <w:lang w:val="en-US"/>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①</w:t>
      </w:r>
      <w:r>
        <w:rPr>
          <w:color w:val="000000" w:themeColor="text1"/>
          <w:lang w:val="en-US"/>
          <w14:textFill>
            <w14:solidFill>
              <w14:schemeClr w14:val="tx1"/>
            </w14:solidFill>
          </w14:textFill>
        </w:rPr>
        <w:t>酒产业</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以沅陵酱酒为龙头，加快推进沅陵酱酒二期项目建设，引入贵州酱酒生产技术团队，攻关高粱单宁含量与酿造效率，提升出酒率与品质稳定性，实现产能扩能。</w:t>
      </w:r>
    </w:p>
    <w:p>
      <w:pPr>
        <w:pStyle w:val="51"/>
        <w:ind w:firstLine="480"/>
        <w:rPr>
          <w:color w:val="000000" w:themeColor="text1"/>
          <w:lang w:val="en-US"/>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②</w:t>
      </w:r>
      <w:r>
        <w:rPr>
          <w:color w:val="000000" w:themeColor="text1"/>
          <w:lang w:val="en-US"/>
          <w14:textFill>
            <w14:solidFill>
              <w14:schemeClr w14:val="tx1"/>
            </w14:solidFill>
          </w14:textFill>
        </w:rPr>
        <w:t>碣滩茶产业</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以碣滩茶业为龙头，引入自动化生产线，结合传统“摊青、炒青、揉捻”工艺，开发碣滩红茶、黑茶等衍生品。</w:t>
      </w:r>
    </w:p>
    <w:p>
      <w:pPr>
        <w:pStyle w:val="51"/>
        <w:ind w:firstLine="480"/>
        <w:rPr>
          <w:color w:val="000000" w:themeColor="text1"/>
          <w:lang w:val="en-US"/>
          <w14:textFill>
            <w14:solidFill>
              <w14:schemeClr w14:val="tx1"/>
            </w14:solidFill>
          </w14:textFill>
        </w:rPr>
      </w:pPr>
      <w:r>
        <w:rPr>
          <w:rFonts w:ascii="Cambria Math" w:hAnsi="Cambria Math" w:cs="Cambria Math"/>
          <w:color w:val="000000" w:themeColor="text1"/>
          <w:lang w:val="en-US"/>
          <w14:textFill>
            <w14:solidFill>
              <w14:schemeClr w14:val="tx1"/>
            </w14:solidFill>
          </w14:textFill>
        </w:rPr>
        <w:t>③</w:t>
      </w:r>
      <w:r>
        <w:rPr>
          <w:color w:val="000000" w:themeColor="text1"/>
          <w:lang w:val="en-US"/>
          <w14:textFill>
            <w14:solidFill>
              <w14:schemeClr w14:val="tx1"/>
            </w14:solidFill>
          </w14:textFill>
        </w:rPr>
        <w:t>其他农副产品加工产业</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依托土家王、五溪食品、浩德食品等企业，积极引入国内大品牌、大企业进行肉类、蔬菜、酒等生产。引进新技术、新设备、新工艺，促进农副食品的深加工及综合利用。</w:t>
      </w:r>
    </w:p>
    <w:p>
      <w:pPr>
        <w:pStyle w:val="30"/>
        <w:rPr>
          <w:color w:val="000000" w:themeColor="text1"/>
          <w14:textFill>
            <w14:solidFill>
              <w14:schemeClr w14:val="tx1"/>
            </w14:solidFill>
          </w14:textFill>
        </w:rPr>
      </w:pPr>
      <w:bookmarkStart w:id="13" w:name="_Toc236641270"/>
      <w:r>
        <w:rPr>
          <w:color w:val="000000" w:themeColor="text1"/>
          <w14:textFill>
            <w14:solidFill>
              <w14:schemeClr w14:val="tx1"/>
            </w14:solidFill>
          </w14:textFill>
        </w:rPr>
        <w:t>规划协调性分析</w:t>
      </w:r>
      <w:bookmarkEnd w:id="13"/>
    </w:p>
    <w:p>
      <w:pPr>
        <w:pStyle w:val="32"/>
        <w:rPr>
          <w:color w:val="000000" w:themeColor="text1"/>
          <w14:textFill>
            <w14:solidFill>
              <w14:schemeClr w14:val="tx1"/>
            </w14:solidFill>
          </w14:textFill>
        </w:rPr>
      </w:pPr>
      <w:r>
        <w:rPr>
          <w:color w:val="000000" w:themeColor="text1"/>
          <w14:textFill>
            <w14:solidFill>
              <w14:schemeClr w14:val="tx1"/>
            </w14:solidFill>
          </w14:textFill>
        </w:rPr>
        <w:t>与上位规划的协调性分析</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与《湖南省主体功能区规划》协调性分析</w:t>
      </w:r>
    </w:p>
    <w:p>
      <w:pPr>
        <w:pStyle w:val="51"/>
        <w:ind w:firstLine="480"/>
        <w:rPr>
          <w:color w:val="000000" w:themeColor="text1"/>
          <w14:textFill>
            <w14:solidFill>
              <w14:schemeClr w14:val="tx1"/>
            </w14:solidFill>
          </w14:textFill>
        </w:rPr>
      </w:pPr>
      <w:bookmarkStart w:id="14" w:name="_Hlk171407840"/>
      <w:r>
        <w:rPr>
          <w:rFonts w:hint="eastAsia"/>
          <w:color w:val="000000" w:themeColor="text1"/>
          <w:lang w:val="en-US"/>
          <w14:textFill>
            <w14:solidFill>
              <w14:schemeClr w14:val="tx1"/>
            </w14:solidFill>
          </w14:textFill>
        </w:rPr>
        <w:t>根据</w:t>
      </w:r>
      <w:r>
        <w:rPr>
          <w:color w:val="000000" w:themeColor="text1"/>
          <w14:textFill>
            <w14:solidFill>
              <w14:schemeClr w14:val="tx1"/>
            </w14:solidFill>
          </w14:textFill>
        </w:rPr>
        <w:t>《湖南省主体功能区规划》</w:t>
      </w:r>
      <w:bookmarkEnd w:id="14"/>
      <w:r>
        <w:rPr>
          <w:rFonts w:hint="eastAsia"/>
          <w:color w:val="000000" w:themeColor="text1"/>
          <w14:textFill>
            <w14:solidFill>
              <w14:schemeClr w14:val="tx1"/>
            </w14:solidFill>
          </w14:textFill>
        </w:rPr>
        <w:t>，沅陵县属于</w:t>
      </w:r>
      <w:r>
        <w:rPr>
          <w:rFonts w:hint="eastAsia"/>
          <w:color w:val="000000" w:themeColor="text1"/>
          <w:lang w:val="en-US"/>
          <w14:textFill>
            <w14:solidFill>
              <w14:schemeClr w14:val="tx1"/>
            </w14:solidFill>
          </w14:textFill>
        </w:rPr>
        <w:t>省级</w:t>
      </w:r>
      <w:r>
        <w:rPr>
          <w:rFonts w:hint="eastAsia"/>
          <w:color w:val="000000" w:themeColor="text1"/>
          <w14:textFill>
            <w14:solidFill>
              <w14:schemeClr w14:val="tx1"/>
            </w14:solidFill>
          </w14:textFill>
        </w:rPr>
        <w:t>重点生态功能区。</w:t>
      </w:r>
      <w:r>
        <w:rPr>
          <w:rFonts w:hint="eastAsia"/>
          <w:color w:val="000000" w:themeColor="text1"/>
          <w:lang w:val="en-US"/>
          <w14:textFill>
            <w14:solidFill>
              <w14:schemeClr w14:val="tx1"/>
            </w14:solidFill>
          </w14:textFill>
        </w:rPr>
        <w:t>功能定位为“</w:t>
      </w:r>
      <w:r>
        <w:rPr>
          <w:rFonts w:hint="eastAsia"/>
          <w:color w:val="000000" w:themeColor="text1"/>
          <w14:textFill>
            <w14:solidFill>
              <w14:schemeClr w14:val="tx1"/>
            </w14:solidFill>
          </w14:textFill>
        </w:rPr>
        <w:t>保障我省生态安全的重要区域，建设绿色湖南的重要载体，实现可持续发展的重要生态功能区，人与自然和谐相处的示范区。维系长江流域和珠江流域水体安全，减少河流泥沙，维护生物多样性的重要区域。”</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重点生态功能区发展方向有：在不损坏生态功能的前提下，因地制宜发展适度资源开采、农林产品生产加工等资源环境可承载的适宜产业，积极发展第三产业。严格限制高污染、高能耗、高物耗产业，淘汰污染环境、破坏生态、浪费资源的产业”。“合理布局城镇和产业园区，把城镇建设和工业开发严格限制在资源环境能够承受的特定区域，加大已有产业园区的提升改造。</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本次扩区</w:t>
      </w:r>
      <w:r>
        <w:rPr>
          <w:rFonts w:hint="eastAsia"/>
          <w:color w:val="000000" w:themeColor="text1"/>
          <w14:textFill>
            <w14:solidFill>
              <w14:schemeClr w14:val="tx1"/>
            </w14:solidFill>
          </w14:textFill>
        </w:rPr>
        <w:t>沅陵产业开发区产业定位为以有色金属冶炼和压延加工业为主导、以计算机、通信和其他电子设备制造业为特色产业，</w:t>
      </w:r>
      <w:r>
        <w:rPr>
          <w:rFonts w:hint="eastAsia"/>
          <w:color w:val="000000" w:themeColor="text1"/>
          <w:lang w:val="en-US"/>
          <w14:textFill>
            <w14:solidFill>
              <w14:schemeClr w14:val="tx1"/>
            </w14:solidFill>
          </w14:textFill>
        </w:rPr>
        <w:t>相关产业定位符合国家重点生态功能区的产业准入要求，</w:t>
      </w:r>
      <w:r>
        <w:rPr>
          <w:rFonts w:hint="eastAsia"/>
          <w:color w:val="000000" w:themeColor="text1"/>
          <w14:textFill>
            <w14:solidFill>
              <w14:schemeClr w14:val="tx1"/>
            </w14:solidFill>
          </w14:textFill>
        </w:rPr>
        <w:t>因此本评价认为沅陵产业开发区的产业定位符合《湖南省主体功能区规划》的规划要求。</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湖南省</w:t>
      </w:r>
      <w:r>
        <w:rPr>
          <w:color w:val="000000" w:themeColor="text1"/>
          <w14:textFill>
            <w14:solidFill>
              <w14:schemeClr w14:val="tx1"/>
            </w14:solidFill>
          </w14:textFill>
        </w:rPr>
        <w:t>国民经济和社会发展第十四个五年规划和二〇三五年远景目标纲要》协调性分析</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2021年1月29日湖南省第十三届人民代表大会第四次会议批准了《湖南省国民经济和社会发展第十四个五年规划和二〇三五年远景目标纲要》。</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纲要中指出：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落实湘西地区开发各项优惠政策，以生态产业为导向，承接产业转移，大力发展特色材料、文化旅游、商贸物流、食品医药等产业，将大湘西地区建成脱贫地区高质量发展先行区、承接产业转移和特色优势产业发展集聚区、生态安全保障区。支持湘西自治州建设对接成渝地区双城经济圈和面向西南的重要交通枢纽，布局发展文化旅游、特色材料、生物科技、食品加工等主导产业，打造文旅融合绿色发展先行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规划园区重点发展</w:t>
      </w:r>
      <w:r>
        <w:rPr>
          <w:color w:val="000000" w:themeColor="text1"/>
          <w14:textFill>
            <w14:solidFill>
              <w14:schemeClr w14:val="tx1"/>
            </w14:solidFill>
          </w14:textFill>
        </w:rPr>
        <w:t>有色金属冶炼及压延加工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计算机、通信和其他电子设备制造业</w:t>
      </w:r>
      <w:r>
        <w:rPr>
          <w:rFonts w:hint="eastAsia"/>
          <w:color w:val="000000" w:themeColor="text1"/>
          <w14:textFill>
            <w14:solidFill>
              <w14:schemeClr w14:val="tx1"/>
            </w14:solidFill>
          </w14:textFill>
        </w:rPr>
        <w:t>，发展金、锑、钨、锌新材料产业，辅助发展</w:t>
      </w:r>
      <w:r>
        <w:rPr>
          <w:color w:val="000000" w:themeColor="text1"/>
          <w:lang w:val="en-US"/>
          <w14:textFill>
            <w14:solidFill>
              <w14:schemeClr w14:val="tx1"/>
            </w14:solidFill>
          </w14:textFill>
        </w:rPr>
        <w:t>酒</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碣滩茶</w:t>
      </w:r>
      <w:r>
        <w:rPr>
          <w:rFonts w:hint="eastAsia"/>
          <w:color w:val="000000" w:themeColor="text1"/>
          <w:lang w:val="en-US"/>
          <w14:textFill>
            <w14:solidFill>
              <w14:schemeClr w14:val="tx1"/>
            </w14:solidFill>
          </w14:textFill>
        </w:rPr>
        <w:t>和其他农副食品等地方特色的产业。因此园区发展方向符合《</w:t>
      </w:r>
      <w:r>
        <w:rPr>
          <w:rFonts w:hint="eastAsia"/>
          <w:color w:val="000000" w:themeColor="text1"/>
          <w14:textFill>
            <w14:solidFill>
              <w14:schemeClr w14:val="tx1"/>
            </w14:solidFill>
          </w14:textFill>
        </w:rPr>
        <w:t>湖南省国民经济和社会发展第十四个五年规划和二〇三五年远景目标纲要</w:t>
      </w:r>
      <w:r>
        <w:rPr>
          <w:rFonts w:hint="eastAsia"/>
          <w:color w:val="000000" w:themeColor="text1"/>
          <w:lang w:val="en-US"/>
          <w14:textFill>
            <w14:solidFill>
              <w14:schemeClr w14:val="tx1"/>
            </w14:solidFill>
          </w14:textFill>
        </w:rPr>
        <w:t>》的要求。</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国民经济和社会发展第十四个五年规划和二〇三五年远景目标纲要》协调性分析</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2021年</w:t>
      </w:r>
      <w:r>
        <w:rPr>
          <w:rFonts w:hint="eastAsia"/>
          <w:color w:val="000000" w:themeColor="text1"/>
          <w:lang w:val="en-US"/>
          <w14:textFill>
            <w14:solidFill>
              <w14:schemeClr w14:val="tx1"/>
            </w14:solidFill>
          </w14:textFill>
        </w:rPr>
        <w:t>1</w:t>
      </w:r>
      <w:r>
        <w:rPr>
          <w:rFonts w:hint="eastAsia"/>
          <w:color w:val="000000" w:themeColor="text1"/>
          <w14:textFill>
            <w14:solidFill>
              <w14:schemeClr w14:val="tx1"/>
            </w14:solidFill>
          </w14:textFill>
        </w:rPr>
        <w:t>月</w:t>
      </w:r>
      <w:r>
        <w:rPr>
          <w:rFonts w:hint="eastAsia"/>
          <w:color w:val="000000" w:themeColor="text1"/>
          <w:lang w:val="en-US"/>
          <w14:textFill>
            <w14:solidFill>
              <w14:schemeClr w14:val="tx1"/>
            </w14:solidFill>
          </w14:textFill>
        </w:rPr>
        <w:t>14</w:t>
      </w:r>
      <w:r>
        <w:rPr>
          <w:rFonts w:hint="eastAsia"/>
          <w:color w:val="000000" w:themeColor="text1"/>
          <w14:textFill>
            <w14:solidFill>
              <w14:schemeClr w14:val="tx1"/>
            </w14:solidFill>
          </w14:textFill>
        </w:rPr>
        <w:t>日，</w:t>
      </w:r>
      <w:r>
        <w:rPr>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怀化市</w:t>
      </w:r>
      <w:r>
        <w:rPr>
          <w:color w:val="000000" w:themeColor="text1"/>
          <w14:textFill>
            <w14:solidFill>
              <w14:schemeClr w14:val="tx1"/>
            </w14:solidFill>
          </w14:textFill>
        </w:rPr>
        <w:t>国民经济和社会发展第十四个五年规划和二〇三五年远景目标纲要》</w:t>
      </w:r>
      <w:r>
        <w:rPr>
          <w:rFonts w:hint="eastAsia"/>
          <w:color w:val="000000" w:themeColor="text1"/>
          <w14:textFill>
            <w14:solidFill>
              <w14:schemeClr w14:val="tx1"/>
            </w14:solidFill>
          </w14:textFill>
        </w:rPr>
        <w:t>由</w:t>
      </w:r>
      <w:r>
        <w:rPr>
          <w:rFonts w:hint="eastAsia"/>
          <w:color w:val="000000" w:themeColor="text1"/>
          <w:lang w:val="en-US"/>
          <w14:textFill>
            <w14:solidFill>
              <w14:schemeClr w14:val="tx1"/>
            </w14:solidFill>
          </w14:textFill>
        </w:rPr>
        <w:t>怀化市</w:t>
      </w:r>
      <w:r>
        <w:rPr>
          <w:rFonts w:hint="eastAsia"/>
          <w:color w:val="000000" w:themeColor="text1"/>
          <w14:textFill>
            <w14:solidFill>
              <w14:schemeClr w14:val="tx1"/>
            </w14:solidFill>
          </w14:textFill>
        </w:rPr>
        <w:t>第</w:t>
      </w:r>
      <w:r>
        <w:rPr>
          <w:rFonts w:hint="eastAsia"/>
          <w:color w:val="000000" w:themeColor="text1"/>
          <w:lang w:val="en-US"/>
          <w14:textFill>
            <w14:solidFill>
              <w14:schemeClr w14:val="tx1"/>
            </w14:solidFill>
          </w14:textFill>
        </w:rPr>
        <w:t>五</w:t>
      </w:r>
      <w:r>
        <w:rPr>
          <w:rFonts w:hint="eastAsia"/>
          <w:color w:val="000000" w:themeColor="text1"/>
          <w14:textFill>
            <w14:solidFill>
              <w14:schemeClr w14:val="tx1"/>
            </w14:solidFill>
          </w14:textFill>
        </w:rPr>
        <w:t>届人民代表大会第五次会议审议通过</w:t>
      </w:r>
      <w:r>
        <w:rPr>
          <w:rFonts w:hint="eastAsia"/>
          <w:color w:val="000000" w:themeColor="text1"/>
          <w:lang w:val="en-US"/>
          <w14:textFill>
            <w14:solidFill>
              <w14:schemeClr w14:val="tx1"/>
            </w14:solidFill>
          </w14:textFill>
        </w:rPr>
        <w:t>。</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纲要指出：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以促进产业转移项目落地为重点，进一步优化园区规划布局，合理划分专业园，明确园区主特产业，实现用地集约、产业集聚，实现产业园区间分工明确、差异发展、协同互补的新型关系。怀化高新区重点打造形成以新材料和电子信息为主导产业、以生物医药为特色产业的“两主一特”格局；怀化经开区重点打造形成以现代服务业和先进制造业为主导产业、以文化旅游科技融合为特色产业的“两主一特”格局；其他各县市区工业集中区（高新区）要结合自身特色和优势，因地制宜，选准1—2个主特产业进行重点培育，引导同类企业向园区集中，努力打造“一主一特”产业园区格局。</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专栏三怀化市域工业集中区（高新区、经开区）产业发展指导目录中沅陵工业集中区以电子信息为主导产业，以绿色食品为特色产业。在专栏四电子信息产业“十四五”发展重点中，沅陵工业集中区属元器件及材料重点支持的园区；在专栏七新材料产业“十四五”发展重点中，沅陵工业集中区属矿物功能材料重点支持的园区，重点突破领域包括“辰州牌”中国驰名商标金、锑、钨等；在专栏九绿色食品加工产业“十四五”发展重点中，沅陵工业集中区属畜禽肉类加工、饮料制造、精制茶加工重点支持的园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专栏十传统产业转型升级重点中，以产业结构调整、改造升级、联合重组为方向，以金、铜、钒等金属加工为重点，采用节能降耗和资源综合利用的新技术、新工艺，提高精深加工能力，延伸产业链条。以辰州矿业国家级绿色矿山试点单位等为重点加快推动锑、锌、铁合金等领域淘汰落后产能。在矿产采选、冶炼分离、深加工等环节，推广智能化、绿色化生产设备和工艺。支持企业同高校、科研院所开展产学研合作，建立联合研发平台，研发一批新工艺、新技术。关停达不到标准要求的产能。</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因此园区发展方向符合《怀化市</w:t>
      </w:r>
      <w:r>
        <w:rPr>
          <w:color w:val="000000" w:themeColor="text1"/>
          <w14:textFill>
            <w14:solidFill>
              <w14:schemeClr w14:val="tx1"/>
            </w14:solidFill>
          </w14:textFill>
        </w:rPr>
        <w:t>国民经济和社会发展第十四个五年规划和二〇三五年远景目标纲要</w:t>
      </w:r>
      <w:r>
        <w:rPr>
          <w:rFonts w:hint="eastAsia"/>
          <w:color w:val="000000" w:themeColor="text1"/>
          <w:lang w:val="en-US"/>
          <w14:textFill>
            <w14:solidFill>
              <w14:schemeClr w14:val="tx1"/>
            </w14:solidFill>
          </w14:textFill>
        </w:rPr>
        <w:t>》的要求。</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与《沅陵县国民经济和社会发展第十四个五年规划和二〇三五年远景目标纲要》协调性分析</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2021年1月1日，沅江市第十七届人民代表大会第五次会议第四次全体会议通过《</w:t>
      </w:r>
      <w:r>
        <w:rPr>
          <w:rFonts w:hint="eastAsia"/>
          <w:color w:val="000000" w:themeColor="text1"/>
          <w:lang w:val="en-US"/>
          <w14:textFill>
            <w14:solidFill>
              <w14:schemeClr w14:val="tx1"/>
            </w14:solidFill>
          </w14:textFill>
        </w:rPr>
        <w:t>沅陵县</w:t>
      </w:r>
      <w:r>
        <w:rPr>
          <w:rFonts w:hint="eastAsia"/>
          <w:color w:val="000000" w:themeColor="text1"/>
          <w14:textFill>
            <w14:solidFill>
              <w14:schemeClr w14:val="tx1"/>
            </w14:solidFill>
          </w14:textFill>
        </w:rPr>
        <w:t>国民经济和社会发展第十四个五年规划和二〇三五年远景目标纲要》</w:t>
      </w:r>
      <w:r>
        <w:rPr>
          <w:rFonts w:hint="eastAsia"/>
          <w:color w:val="000000" w:themeColor="text1"/>
          <w:lang w:val="en-US"/>
          <w14:textFill>
            <w14:solidFill>
              <w14:schemeClr w14:val="tx1"/>
            </w14:solidFill>
          </w14:textFill>
        </w:rPr>
        <w:t>。</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纲要指出：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县重点构建“8+4+7”产业体系，重点发展有色金属、清洁能源、电子信息、滩茶业、全域观光休闲、文化创意、绿色食品、营地教育“八大产业集群”，畜禽水产、特产加工、竹产业、白酒业“四大优势资源产业”，数字技术、装配式建筑、通用航空、现代物流、康养、游艇、应急“七大新兴产业”。</w:t>
      </w:r>
    </w:p>
    <w:p>
      <w:pPr>
        <w:pStyle w:val="51"/>
        <w:ind w:firstLine="482"/>
        <w:rPr>
          <w:color w:val="000000" w:themeColor="text1"/>
          <w:lang w:val="en-US"/>
          <w14:textFill>
            <w14:solidFill>
              <w14:schemeClr w14:val="tx1"/>
            </w14:solidFill>
          </w14:textFill>
        </w:rPr>
      </w:pPr>
      <w:r>
        <w:rPr>
          <w:rFonts w:hint="eastAsia"/>
          <w:b/>
          <w:bCs/>
          <w:color w:val="000000" w:themeColor="text1"/>
          <w:lang w:val="en-US"/>
          <w14:textFill>
            <w14:solidFill>
              <w14:schemeClr w14:val="tx1"/>
            </w14:solidFill>
          </w14:textFill>
        </w:rPr>
        <w:t>有色金属产业集群。</w:t>
      </w:r>
      <w:r>
        <w:rPr>
          <w:rFonts w:hint="eastAsia"/>
          <w:color w:val="000000" w:themeColor="text1"/>
          <w:lang w:val="en-US"/>
          <w14:textFill>
            <w14:solidFill>
              <w14:schemeClr w14:val="tx1"/>
            </w14:solidFill>
          </w14:textFill>
        </w:rPr>
        <w:t>以金、锑、钨精深加工为主，按照标准化、效能化管理，打造以辰州矿业为龙头的百亿有色金属加工制造业，重点支持辰州矿业技改及资源综合利用项目、西澳矿业日处理500吨原矿扩能改造、金石锌业年产5万吨电解锌等综合技改项目建设，通过有色金属制造业企业延伸产业链，扩能提质改造，促进产业升级；加快推进绿色矿山建设工作，综合开发利用黄金、铅锌、锑等矿产资源，引导矿产开发向优势大企业集中，引导矿产加工企业向工业园区集聚。</w:t>
      </w:r>
    </w:p>
    <w:p>
      <w:pPr>
        <w:pStyle w:val="51"/>
        <w:ind w:firstLine="482"/>
        <w:rPr>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电子信息产业集群。</w:t>
      </w:r>
      <w:r>
        <w:rPr>
          <w:color w:val="000000" w:themeColor="text1"/>
          <w:lang w:val="en-US"/>
          <w14:textFill>
            <w14:solidFill>
              <w14:schemeClr w14:val="tx1"/>
            </w14:solidFill>
          </w14:textFill>
        </w:rPr>
        <w:t>加快发展电子原材料产业、电子元器件产业、智能终端产业及配套产业，大力推进电子信息产业转型升级、规范化发展，积极培育龙头企业</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力争到2025年建成以电子元器件生产为主的</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百亿电子信息产业园</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绿色食品产业集群。</w:t>
      </w:r>
      <w:r>
        <w:rPr>
          <w:rFonts w:hint="eastAsia"/>
          <w:color w:val="000000" w:themeColor="text1"/>
          <w14:textFill>
            <w14:solidFill>
              <w14:schemeClr w14:val="tx1"/>
            </w14:solidFill>
          </w14:textFill>
        </w:rPr>
        <w:t>突出发展粮油精深加工、畜禽肉类加工、果蔬加工、饮料制造、精制茶加工等产业，加快推进食品加工产业其地、绿钯食品原料标准化生产基地建设，大力支持优势农副食品企业创建国家级品牌。</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白酒业。</w:t>
      </w:r>
      <w:r>
        <w:rPr>
          <w:rFonts w:hint="eastAsia"/>
          <w:color w:val="000000" w:themeColor="text1"/>
          <w14:textFill>
            <w14:solidFill>
              <w14:schemeClr w14:val="tx1"/>
            </w14:solidFill>
          </w14:textFill>
        </w:rPr>
        <w:t>支持“沅陵大曲”重塑知名品牌，年产酒5000吨，完成上下游产业链构建。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规划园区重点发展</w:t>
      </w:r>
      <w:r>
        <w:rPr>
          <w:color w:val="000000" w:themeColor="text1"/>
          <w14:textFill>
            <w14:solidFill>
              <w14:schemeClr w14:val="tx1"/>
            </w14:solidFill>
          </w14:textFill>
        </w:rPr>
        <w:t>有色金属冶炼及压延加工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计算机、通信和其他电子设备制造业</w:t>
      </w:r>
      <w:r>
        <w:rPr>
          <w:rFonts w:hint="eastAsia"/>
          <w:color w:val="000000" w:themeColor="text1"/>
          <w14:textFill>
            <w14:solidFill>
              <w14:schemeClr w14:val="tx1"/>
            </w14:solidFill>
          </w14:textFill>
        </w:rPr>
        <w:t>，发展金、锑、钨、锌新材料产业，辅助发展</w:t>
      </w:r>
      <w:r>
        <w:rPr>
          <w:color w:val="000000" w:themeColor="text1"/>
          <w:lang w:val="en-US"/>
          <w14:textFill>
            <w14:solidFill>
              <w14:schemeClr w14:val="tx1"/>
            </w14:solidFill>
          </w14:textFill>
        </w:rPr>
        <w:t>酒</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碣滩茶</w:t>
      </w:r>
      <w:r>
        <w:rPr>
          <w:rFonts w:hint="eastAsia"/>
          <w:color w:val="000000" w:themeColor="text1"/>
          <w:lang w:val="en-US"/>
          <w14:textFill>
            <w14:solidFill>
              <w14:schemeClr w14:val="tx1"/>
            </w14:solidFill>
          </w14:textFill>
        </w:rPr>
        <w:t>和其他农副食品等地方特色的产业。因此园区发展方向符合《</w:t>
      </w:r>
      <w:r>
        <w:rPr>
          <w:rFonts w:hint="eastAsia"/>
          <w:color w:val="000000" w:themeColor="text1"/>
          <w14:textFill>
            <w14:solidFill>
              <w14:schemeClr w14:val="tx1"/>
            </w14:solidFill>
          </w14:textFill>
        </w:rPr>
        <w:t>沅陵县国民经济和社会发展第十四个五年规划和二〇三五年远景目标纲要</w:t>
      </w:r>
      <w:r>
        <w:rPr>
          <w:rFonts w:hint="eastAsia"/>
          <w:color w:val="000000" w:themeColor="text1"/>
          <w:lang w:val="en-US"/>
          <w14:textFill>
            <w14:solidFill>
              <w14:schemeClr w14:val="tx1"/>
            </w14:solidFill>
          </w14:textFill>
        </w:rPr>
        <w:t>》的要求。</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与《怀化市国土空间总体规划（2021-2035年）》协调性分析</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《怀化市国土空间总体规划（2021-2035年）》中对全市产业空间布局做出如下要求：</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构建“一廊集聚、四区协同、六带开放、多平台联动”的产业协同开放空间格局。</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一廊集聚。以先进制造业为重点，构建辰溪县-鹤城区-芷江县-中方县-洪江市-洪江区制造业集聚发展的“C”型走廊</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四区协同。构建中部产业创新引领区、北部绿色发展优势区南部生态发展潜力区、西部协作发展示范区四大产业发展片区。中东部产业核心引领区。以鹤中洪芷城镇群为主体，打通城际交通，沿“C型”走廊集聚发展先进制造业，重点发展新材料、现代(商贸)物流、医药健康、电子信息、装配式建筑等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北部特色产业发展区。以沅陵、辰溪、溆浦、麻阳为主体，以沅水干支流为纽带，重点发展电子信息、新能源、新材料、农产品精深加工等特色产业。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西部湘黔经济协作区。以新晃为主体，以高铁、高速为纽带，推进基础设施、公共服务共建共享，深化医药健康、现代商贸物流、绿色食品精深加工、新能源及新能源汽车等领域合作。</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南部医药健康产业发展区。以会同、靖州、通道为主体，以包茂高速为纽带，重点发展医药健康和绿色食品精深加工产业。</w:t>
      </w:r>
    </w:p>
    <w:p>
      <w:pPr>
        <w:pStyle w:val="51"/>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沅陵县位于北部特色产业发展区，本次以电子信息、新材料、农副产品加工为重点发展的产业，符合《怀化市国土空间总体规划（2021-2035年）》产业空间布局的要求。</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与《沅陵县国土空间总体规划（2021-2035）》协调性分析</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《沅陵县国土空间总体规划（2021-2035）》对产业园区的描述定位如下：</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园区发展定位：沅陵县承接东部地区和粤港澳大湾区产业转移主阵地，少数民族特色农产品加工示范区。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园区主导产业：规划园区形成“一主一特三辅”的产业结构，“一主”即新材料主导产业；“一特”即电子信息特色产业；“三辅”即农副产品、医药健康、现代服务业。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功能结构：总体形成“一区两园”的功能结构。一区即为沅陵产业开发区，两园即为湖南（沅陵）台湾工业园和辰州工业新区产业园，湖南（沅陵）台湾工业园以电子信息和元器件产业为主，辰州工业新区产业园以有色金属产业为主。</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本轮规划严格落实了《沅陵县国土空间总体规划（2021-2035）》的要求，在稳步发展湖南（沅陵）台湾工业园和辰州工业新区产业园的基础上，将麻溪铺片区的山能环保企业纳入园区进行统一管理。</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与《沅陵县官庄镇国土空间总体规划（2021-2035）》协调性分析</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《沅陵县</w:t>
      </w:r>
      <w:r>
        <w:rPr>
          <w:rFonts w:hint="eastAsia"/>
          <w:color w:val="000000" w:themeColor="text1"/>
          <w14:textFill>
            <w14:solidFill>
              <w14:schemeClr w14:val="tx1"/>
            </w14:solidFill>
          </w14:textFill>
        </w:rPr>
        <w:t>官庄镇国土空间规划</w:t>
      </w:r>
      <w:r>
        <w:rPr>
          <w:rFonts w:hint="eastAsia"/>
          <w:color w:val="000000" w:themeColor="text1"/>
          <w:lang w:val="en-US"/>
          <w14:textFill>
            <w14:solidFill>
              <w14:schemeClr w14:val="tx1"/>
            </w14:solidFill>
          </w14:textFill>
        </w:rPr>
        <w:t>（2021-2035）》对产业发展规划描述如下：</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1）优化第一产业：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优化种植结构，扩大茶叶、蔬菜等特色农业种植规模，打造湖南辰龙关现代农业产业园示范项目。与三产旅游项目结合形成特色化、多元化的产业发展模式。</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2）强化第二产业：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官庄镇作为沅陵县工业重镇，依托辰州工业园培育壮大以金、钨、锑等有色金属采掘冶炼加工产业、辰州矿业深加工产业（阻燃材料和新型建筑材料）为主的传统优势产业。大力扶持综合加工制造业（如机械制造、电子信息材料、建材等）以及现代物流仓储业等新型产业，发展循环经济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3）扩展第三产业：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①结合官庄国家矿山公园建设，……提升自身旅游产品品质和竞争力（休闲养生、生态农业、休闲旅游、生态文化游等方面）。</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②依托辰龙关现代农业产业园建设，……构建产城融合的全产业链和循环经济模式，形成以”茶旅+生态”为主导的旅游产业生态系统。</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③探索“矿区+”融合发展方式，……这是由旅游的本质决定的。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④完善官庄镇中心镇区……为官庄镇产业发展提供强有力的支撑。</w:t>
      </w:r>
    </w:p>
    <w:p>
      <w:pPr>
        <w:pStyle w:val="51"/>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从《沅陵县官庄镇国土空间规划（2021-2035）》中可以看出，对于第二产业，要培育壮大金、钨、锑等有色金属采掘冶炼加工产业。本轮规划也指出辰州开发区要着力发展有色金属冶炼产业，符合</w:t>
      </w:r>
      <w:r>
        <w:rPr>
          <w:rFonts w:hint="eastAsia"/>
          <w:b/>
          <w:bCs/>
          <w:color w:val="000000" w:themeColor="text1"/>
          <w:lang w:val="en-US"/>
          <w14:textFill>
            <w14:solidFill>
              <w14:schemeClr w14:val="tx1"/>
            </w14:solidFill>
          </w14:textFill>
        </w:rPr>
        <w:t>《沅陵县</w:t>
      </w:r>
      <w:r>
        <w:rPr>
          <w:rFonts w:hint="eastAsia"/>
          <w:b/>
          <w:bCs/>
          <w:color w:val="000000" w:themeColor="text1"/>
          <w14:textFill>
            <w14:solidFill>
              <w14:schemeClr w14:val="tx1"/>
            </w14:solidFill>
          </w14:textFill>
        </w:rPr>
        <w:t>官庄镇国土空间规划</w:t>
      </w:r>
      <w:r>
        <w:rPr>
          <w:rFonts w:hint="eastAsia"/>
          <w:b/>
          <w:bCs/>
          <w:color w:val="000000" w:themeColor="text1"/>
          <w:lang w:val="en-US"/>
          <w14:textFill>
            <w14:solidFill>
              <w14:schemeClr w14:val="tx1"/>
            </w14:solidFill>
          </w14:textFill>
        </w:rPr>
        <w:t>（2021-2035）》的要求。</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与《沅陵县麻溪铺镇国土空间总体规划（2021-2035）》协调性分析</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《沅陵县麻溪铺镇国土空间规划（2021-2035）》对产业发展规划描述如下：</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构建“一心一园两带六基地”产业空间结构布局，将麻溪铺打造为“茶酒药锌小镇”，其中：</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“一心”：指产业发展的综合管理服务中心，布局在集镇，同时积极发展商贸服务业与冷链物流业。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园”：指沅陵县有色金属循环经济麻溪铺产业园（产业园位于原五三机械厂、杭瑞高速北侧，近期规划占地面积609亩，远期根据建设需要改扩建），依托沅陵山能环保科技有限公司5万吨电解锌技改项目，着力引进以电解锌加工生产为基础的上下游企业，努力建设一条以有色金属冶炼、精深加工、多种有价金属综合回收利用为主体的有色金属循环经济麻溪铺产业园。</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两带”：指G319现代农业示范带与荔溪生态山水民俗文化休闲旅游带。依托G319两侧地理条件优势，发展机械化、数字化现代农业，以优质水稻、油菜种植为拳头产品，将农耕特色四时风景与特色民俗习惯相融合的农产示范带；沿荔溪河两岸改造现有民居，打造具有浓厚“佤乡”文化民俗特色民宿，并以辰龙关至筲箕湾沿路百里九乡茶旅融合经济走廊为契机，建设一批登山、玩水的休闲运动设施，打造洪山界、沅水等山水户外徒步、户外健身生态民俗休闲旅游水韵长廊。</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六基地”：指茶叶基地（马家村、千丘田村等）、中药材基地（马家村、千丘田村、文家坪村、麻溪铺居委会等）、瓜果蔬菜基地（千丘田、马家等）、粮油高效轮作基地（千丘田、马家、庄田等）、酒用高粱基地（文家坪、肖家坳、四方头、龙岩头居委会等）、畜禽养殖基地（庄田、马家、肖家坳等）。</w:t>
      </w:r>
    </w:p>
    <w:p>
      <w:pPr>
        <w:pStyle w:val="51"/>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从《沅陵县麻溪铺镇国土空间规划（2021-2035）》中可以看出，沅陵县有色金属循环经济麻溪铺产业园（即本次纳入沅陵产业开发区的新片区），要大力发展有色金属循环经济。这一点与本轮规划提出的麻溪铺片区的产业是相符的。</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与《湖南省</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十四五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生态环境保护规划》协调性分析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与《湖南省“十四五”生态环境保护规划》的协调性分析一览表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
        <w:gridCol w:w="3996"/>
        <w:gridCol w:w="3205"/>
        <w:gridCol w:w="65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内容</w:t>
            </w: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规划描述</w:t>
            </w:r>
          </w:p>
        </w:tc>
        <w:tc>
          <w:tcPr>
            <w:tcW w:w="320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开发区情况</w:t>
            </w:r>
          </w:p>
        </w:tc>
        <w:tc>
          <w:tcPr>
            <w:tcW w:w="65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深入打好碧水保卫战</w:t>
            </w: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深化重点领域水污染治理。……推进工业园区污水处理设施分类管理、分期升级改造，实施省级及以上工业园区专项整治行动，实现省级及以上工业园区污水管网全覆盖、污水全收集、污水集中处理设施稳定达标运行、进出水水质在线监控并联网正常……</w:t>
            </w:r>
          </w:p>
        </w:tc>
        <w:tc>
          <w:tcPr>
            <w:tcW w:w="320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开发区湖南（沅陵）台湾工业园目前废水由沅陵产业开发区污水处理厂处理，污水处理厂投入了运行，按要求安装进水和出水的在线监控装置。</w:t>
            </w:r>
          </w:p>
        </w:tc>
        <w:tc>
          <w:tcPr>
            <w:tcW w:w="6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Merge w:val="continue"/>
            <w:vAlign w:val="center"/>
          </w:tcPr>
          <w:p>
            <w:pPr>
              <w:pStyle w:val="36"/>
              <w:rPr>
                <w:color w:val="000000" w:themeColor="text1"/>
                <w14:textFill>
                  <w14:solidFill>
                    <w14:schemeClr w14:val="tx1"/>
                  </w14:solidFill>
                </w14:textFill>
              </w:rPr>
            </w:pP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加强长江干支流系统治理……沿江岸线1公里范围内严禁新建、扩建化工园区、化工生产项目……</w:t>
            </w:r>
          </w:p>
        </w:tc>
        <w:tc>
          <w:tcPr>
            <w:tcW w:w="320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开发区不属于化工园区。</w:t>
            </w:r>
          </w:p>
        </w:tc>
        <w:tc>
          <w:tcPr>
            <w:tcW w:w="6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深入打好蓝天保卫战</w:t>
            </w: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强化重点行业VOCs科学治理。……按照“分业施策、一行一策”的原则，加大低VOCs含量原辅材料的推广使用力度，从源头减少VOCs产生。推进使用先进生产工艺设备，减少无组织排放……</w:t>
            </w:r>
          </w:p>
        </w:tc>
        <w:tc>
          <w:tcPr>
            <w:tcW w:w="320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开发区不涉及VOC重点行业，涉VOC的企业均进行了有效治理。</w:t>
            </w:r>
          </w:p>
        </w:tc>
        <w:tc>
          <w:tcPr>
            <w:tcW w:w="6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Merge w:val="continue"/>
            <w:vAlign w:val="center"/>
          </w:tcPr>
          <w:p>
            <w:pPr>
              <w:pStyle w:val="36"/>
              <w:rPr>
                <w:color w:val="000000" w:themeColor="text1"/>
                <w14:textFill>
                  <w14:solidFill>
                    <w14:schemeClr w14:val="tx1"/>
                  </w14:solidFill>
                </w14:textFill>
              </w:rPr>
            </w:pP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强化扬尘污染精准科学管控。县级以上城市建成区内房屋建筑和市政基础设施工程施工工地严格落实扬尘防控“六个100%”……</w:t>
            </w:r>
          </w:p>
        </w:tc>
        <w:tc>
          <w:tcPr>
            <w:tcW w:w="320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园区管委会对</w:t>
            </w:r>
            <w:r>
              <w:rPr>
                <w:color w:val="000000" w:themeColor="text1"/>
                <w14:textFill>
                  <w14:solidFill>
                    <w14:schemeClr w14:val="tx1"/>
                  </w14:solidFill>
                </w14:textFill>
              </w:rPr>
              <w:t>施工单位严格按</w:t>
            </w:r>
            <w:r>
              <w:rPr>
                <w:rFonts w:hint="eastAsia"/>
                <w:color w:val="000000" w:themeColor="text1"/>
                <w14:textFill>
                  <w14:solidFill>
                    <w14:schemeClr w14:val="tx1"/>
                  </w14:solidFill>
                </w14:textFill>
              </w:rPr>
              <w:t>六</w:t>
            </w:r>
            <w:r>
              <w:rPr>
                <w:color w:val="000000" w:themeColor="text1"/>
                <w14:textFill>
                  <w14:solidFill>
                    <w14:schemeClr w14:val="tx1"/>
                  </w14:solidFill>
                </w14:textFill>
              </w:rPr>
              <w:t>个100%的要求进行管理。</w:t>
            </w:r>
          </w:p>
        </w:tc>
        <w:tc>
          <w:tcPr>
            <w:tcW w:w="6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加强重金属污染防控</w:t>
            </w:r>
          </w:p>
        </w:tc>
        <w:tc>
          <w:tcPr>
            <w:tcW w:w="399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实施重金属总量控制……严格涉重金属重点行业环境准入，落实重点重金属污染物排放量“等量置换”和“减量替换”原则……</w:t>
            </w:r>
          </w:p>
        </w:tc>
        <w:tc>
          <w:tcPr>
            <w:tcW w:w="320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开发区现有的两家涉重金属企业在环评过程中落实了替代原则；园区后续开发区在管理过程中会进一步严格按政策要求加强重金属污染的防控，</w:t>
            </w:r>
          </w:p>
        </w:tc>
        <w:tc>
          <w:tcPr>
            <w:tcW w:w="6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与《怀化市“十四五”生态环境保护规划》协调性分析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“十四五”生态环境保护规划》的协调性分析一览表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2"/>
        <w:gridCol w:w="5170"/>
        <w:gridCol w:w="1828"/>
        <w:gridCol w:w="78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内容</w:t>
            </w:r>
          </w:p>
        </w:tc>
        <w:tc>
          <w:tcPr>
            <w:tcW w:w="517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规划描述</w:t>
            </w:r>
          </w:p>
        </w:tc>
        <w:tc>
          <w:tcPr>
            <w:tcW w:w="18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开发区情况</w:t>
            </w:r>
          </w:p>
        </w:tc>
        <w:tc>
          <w:tcPr>
            <w:tcW w:w="7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全力优化产业结构</w:t>
            </w:r>
          </w:p>
        </w:tc>
        <w:tc>
          <w:tcPr>
            <w:tcW w:w="517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严守生态环境底线，着力绿色制造体系建设，大力构建制造业集聚发展“C”型走廊，加快推进电子信息、生物医药、先进桥隧装备制造、新材料(精细化工)、装配式建筑制造业、绿色食品加工六大基地和八大产业链建设，以智能科技推动产业向价值链中高端迈进。合理布局和建设以山地精细农业、品质农业为特色的全国知名绿色优质农产品供应基地，推进农产品产、加、储、运、销全产业链绿色化标准化发展，鼓励农村一二三产业深度融合发展。遏制“两高”项目盲目发展，全面理排查拟建、在建和存量“两高”项目：严格“两高”项目环评审批，对“两高”项目实行清单管理，依法依规进行“两高”项目分类处置。加大淘汰落后产能、工艺和设备的力度，严禁未经批准新增煤炭、钢铁、水泥、电解铝、平板玻璃等行业产能，鼓励发展专业化节能环保企业。开展减污降碳综合治理，积极推动能源、矿冶、森工、建材、化工等传统产业智能化改造、生态化转型。到2025年：全面落实湖南省强制性清洁生产审核方案要求，全面完成各年度强制性清洁生产审核任务，推动重点行业完成限制类产能装备的升级改造。</w:t>
            </w:r>
          </w:p>
        </w:tc>
        <w:tc>
          <w:tcPr>
            <w:tcW w:w="1828"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开发区近年来并未新增“两高”项目，也不涉及产能过深的行业。重点企业也均进行了强制性清洁生产审核。</w:t>
            </w:r>
          </w:p>
        </w:tc>
        <w:tc>
          <w:tcPr>
            <w:tcW w:w="78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推动工业水污染防治</w:t>
            </w:r>
          </w:p>
        </w:tc>
        <w:tc>
          <w:tcPr>
            <w:tcW w:w="517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以企业和工业聚集区为重点推进工业园区污水处理设施分类管理、分期升级改造，加快推进园区环境污染第三方治理，持续开展怀化市高新区、经开区等省级及以上工业园区专项整治行动，实现工业园区污水管网全覆盖、工业污水集中收集处理并达标排放、污水集中处理设施稳定达标运行、进出水水质在线监控并联网正常，规范设置园区集中污水处理设施排污口，推动加强省级及以上工业园区环境管理水平建立完善水环境管理档案，实现“一园一档”。加强湖南骏泰新材料科技有限责任公司、湖南辰州矿业有限责任公司、湖南恒光科技股份有限公司等涉重金属行业企业废水治理，推进重点行业氨氮和总磷排放总量控制。</w:t>
            </w:r>
          </w:p>
        </w:tc>
        <w:tc>
          <w:tcPr>
            <w:tcW w:w="1828"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湖南（沅陵）台湾工业园目前废水由沅陵产业开发区污水处理厂处理，污水处理厂投入了运行，按要求安装进水和出水的在线监控装置；园区污水管网已全覆盖。湖南辰州矿业有限责任公司已设置了重金属废水处理站处理生产中产生的废水。</w:t>
            </w:r>
          </w:p>
        </w:tc>
        <w:tc>
          <w:tcPr>
            <w:tcW w:w="7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开展重点行业NO</w:t>
            </w:r>
            <w:r>
              <w:rPr>
                <w:rFonts w:hint="eastAsia"/>
                <w:color w:val="000000" w:themeColor="text1"/>
                <w:vertAlign w:val="subscript"/>
                <w14:textFill>
                  <w14:solidFill>
                    <w14:schemeClr w14:val="tx1"/>
                  </w14:solidFill>
                </w14:textFill>
              </w:rPr>
              <w:t>X</w:t>
            </w:r>
            <w:r>
              <w:rPr>
                <w:rFonts w:hint="eastAsia"/>
                <w:color w:val="000000" w:themeColor="text1"/>
                <w14:textFill>
                  <w14:solidFill>
                    <w14:schemeClr w14:val="tx1"/>
                  </w14:solidFill>
                </w14:textFill>
              </w:rPr>
              <w:t>科学治理</w:t>
            </w:r>
          </w:p>
        </w:tc>
        <w:tc>
          <w:tcPr>
            <w:tcW w:w="517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持续推进燃煤锅炉淘汰，基本完成天然气供应范围内生物质锅炉、热风炉、加热炉、烘干炉等锅炉淘汰改造。加快推进工业炉密燃料清洁低碳化替代，有序推进怀化市水泥、砖瓦、无机化工等行业炉窑深度治理，关闭不符合国家环保政策的砖瓦窑。逐步推进烧结砖瓦行业治理设施升级改造，有序淘汰“双碱法”脱硫除尘一体化技术。到2025年，烧结砖瓦企业完成高效脱硫除尘改造。推进水泥熟料生产企业采用分级燃烧等技术，配备高效除尘和脱硝设施，实施氮氧化物深度治理，组织实施特护期水泥等重点行业的错峰生产。到2023年，NOx排放浓度控制在100毫克/立方米以下。推进玻璃、陶瓷、铸造、有色等行业污染深度治理，严格控制焦化、水泥、砖瓦、石灰、耐火材料、有色金属冶炼等行业无组织排放。加强部分“散乱污”涉气企业整治，实现“散乱污”企业动态清零。重点涉气排放企业逐步取消烟气旁路，因安全原因无法取消的，安装在线监管系统。开展燃气锅炉低氮改造，氮氧化物排放浓度不高于50毫克/立方米。</w:t>
            </w:r>
          </w:p>
        </w:tc>
        <w:tc>
          <w:tcPr>
            <w:tcW w:w="1828"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园区范围内目前没有燃煤锅炉；除因工艺要求外，园区内锅炉、炉窑均改为了天然气、电等清洁能源。湖南辰州矿业有限责任公司已淘汰双碱法脱硫工艺，采用该石灰石石膏法，并配套了高效的除尘设施。</w:t>
            </w:r>
          </w:p>
        </w:tc>
        <w:tc>
          <w:tcPr>
            <w:tcW w:w="7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强化重点行业VOCs科学治理</w:t>
            </w:r>
          </w:p>
        </w:tc>
        <w:tc>
          <w:tcPr>
            <w:tcW w:w="517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快推进有机化工、工业涂装、印刷包装、沥青搅拌、汽车维修、橡胶塑料制品等行业企业VOCs综合治理，加强汽修行业VOCs综合治理，全面推进工业涂装包装印刷、沥青搅拌站等重点涉气企业工况监控设施建设，落实“源头-过程-末端-运维”全过程管控。禁止建设生产VOCs含量限制不符合国家标准的涂料、油墨、胶粘剂、清洗剂等项目，大力推行低VOCs含量原辅材料源头替代和生产工艺设备改进提升，减少源头排放。加强VOCs无组织排放控制，实行重点排放源排放浓度与去除效率双重控制。加强重点企业VOCs排放监测监管严格执行建设项目新增VOCs排放量区域削减替代规定:新建涉VOCs排放的工业企业要入园区。加大餐饮油烟污染治理力度，推进城市餐饮油烟治理全覆盖。加强餐饮油烟控制和油烟净化设施建设及运行监管，督促各县(市、区)城市建成区范围内公共机构食堂、4个灶头(含)以上的饮食服务经营场所安装高效油烟净化装置，确保油烟净化装置高效稳定运行，推进安装油烟在线监测设施，加大超标排放处罚力度。逐步将建设专用烟道要求纳入新建居民小区规划建设条件，未配套设立专用烟道的居民住宅楼鼓励安装油烟净化装置或者采取其他油烟净化措施的方式依次推进。</w:t>
            </w:r>
          </w:p>
        </w:tc>
        <w:tc>
          <w:tcPr>
            <w:tcW w:w="1828"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园区对涉VOC的企业加强了管理，通过源头管理、工艺过程管理、末端治理管理等多个方面减少VOC的排放。</w:t>
            </w:r>
          </w:p>
        </w:tc>
        <w:tc>
          <w:tcPr>
            <w:tcW w:w="78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34"/>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湖南省“十四五”产业园区发展规划</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协调性</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湖南省“十四五”产业园区发展规划</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提出：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按照国家级园区不超过“二主一特”、省级园区不超过“一主一特”的原则，立足现有基础和优势，选准主攻方向、找准发力点，科学确定主导产业、优势产业、特色产业和未来产业，做好产业链的延链、补链、强链、固链，明确各园区的产业定位，全力推进园区产业转型升级。</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符合性分析：</w:t>
      </w:r>
      <w:r>
        <w:rPr>
          <w:rFonts w:hint="eastAsia"/>
          <w:color w:val="000000" w:themeColor="text1"/>
          <w:lang w:val="en-US"/>
          <w14:textFill>
            <w14:solidFill>
              <w14:schemeClr w14:val="tx1"/>
            </w14:solidFill>
          </w14:textFill>
        </w:rPr>
        <w:t>沅陵产业</w:t>
      </w:r>
      <w:r>
        <w:rPr>
          <w:rFonts w:hint="eastAsia"/>
          <w:color w:val="000000" w:themeColor="text1"/>
          <w14:textFill>
            <w14:solidFill>
              <w14:schemeClr w14:val="tx1"/>
            </w14:solidFill>
          </w14:textFill>
        </w:rPr>
        <w:t>开发区为省级园区，规划形成“一主一特”产业，以有色金属冶炼和压延加工业为主导、以计算机、通信和其他电子设备制造业为特色产业。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规范园区设立升级调区扩区管理。稳步有序推进园区设立、升级和调区扩区工作，结合各类园区发展实际需要，不断完善园区相关审批程序，限制开发区域原则上不得新建园区，禁止开发区域严禁建设园区。对于按照核准面积和用途已基本建成的现有园区，在达到依法、合理、集约用地标准后，方可申请扩区。完善各类园区建设成效评价工作，将评价结果作为升级、扩区、调区的重要依据。</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符合性分析：</w:t>
      </w:r>
      <w:r>
        <w:rPr>
          <w:rFonts w:hint="eastAsia"/>
          <w:color w:val="000000" w:themeColor="text1"/>
          <w14:textFill>
            <w14:solidFill>
              <w14:schemeClr w14:val="tx1"/>
            </w14:solidFill>
          </w14:textFill>
        </w:rPr>
        <w:t>“专栏</w:t>
      </w:r>
      <w:r>
        <w:rPr>
          <w:rFonts w:hint="eastAsia"/>
          <w:color w:val="000000" w:themeColor="text1"/>
          <w:lang w:val="en-US"/>
          <w14:textFill>
            <w14:solidFill>
              <w14:schemeClr w14:val="tx1"/>
            </w14:solidFill>
          </w14:textFill>
        </w:rPr>
        <w:t>4园区调区扩区与整合计划</w:t>
      </w:r>
      <w:r>
        <w:rPr>
          <w:rFonts w:hint="eastAsia"/>
          <w:color w:val="000000" w:themeColor="text1"/>
          <w14:textFill>
            <w14:solidFill>
              <w14:schemeClr w14:val="tx1"/>
            </w14:solidFill>
          </w14:textFill>
        </w:rPr>
        <w:t>”中，</w:t>
      </w:r>
      <w:r>
        <w:rPr>
          <w:rFonts w:hint="eastAsia"/>
          <w:color w:val="000000" w:themeColor="text1"/>
          <w:lang w:val="en-US"/>
          <w14:textFill>
            <w14:solidFill>
              <w14:schemeClr w14:val="tx1"/>
            </w14:solidFill>
          </w14:textFill>
        </w:rPr>
        <w:t>沅陵产业开发区属于计划扩区的园区。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（3）实施战略性新兴产业培育工程，积极推动电子信息、先进材料、节能环保新能源等新兴产业发展。</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符合性分析：</w:t>
      </w:r>
      <w:r>
        <w:rPr>
          <w:rFonts w:hint="eastAsia"/>
          <w:color w:val="000000" w:themeColor="text1"/>
          <w:lang w:val="en-US"/>
          <w14:textFill>
            <w14:solidFill>
              <w14:schemeClr w14:val="tx1"/>
            </w14:solidFill>
          </w14:textFill>
        </w:rPr>
        <w:t>本次规划的产业定位中，官庄片区、麻溪铺片区发展</w:t>
      </w:r>
      <w:r>
        <w:rPr>
          <w:rFonts w:hint="eastAsia"/>
          <w:color w:val="000000" w:themeColor="text1"/>
          <w14:textFill>
            <w14:solidFill>
              <w14:schemeClr w14:val="tx1"/>
            </w14:solidFill>
          </w14:textFill>
        </w:rPr>
        <w:t>有色金属冶炼和压延加工业，并向下游不断衍生</w:t>
      </w:r>
      <w:r>
        <w:rPr>
          <w:rFonts w:hint="eastAsia"/>
          <w:color w:val="000000" w:themeColor="text1"/>
          <w:lang w:val="en-US"/>
          <w14:textFill>
            <w14:solidFill>
              <w14:schemeClr w14:val="tx1"/>
            </w14:solidFill>
          </w14:textFill>
        </w:rPr>
        <w:t>有色金属新材料产业，符合产业定位</w:t>
      </w:r>
      <w:r>
        <w:rPr>
          <w:rFonts w:hint="eastAsia"/>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完善园区环境基础设施。加快推进园区污水处理设施建设，加强企业入河排污口规范化管理，按规定配套建设污水集中处理设施，按照“适度超前”原则建设污水管网，确保污水全收集，原则上一个园区只设置一个排污口。优化园区废气、固废处置，建设工业固废收运处置体系、有毒及恶臭气体收集、处理和应急处置设施。到2025年前，污水处理率达到95%以上，工业固体废物处置利用率达到90%以上，有色、建材、制药、机械加工等重点企业氮氧化物、挥发性有机物均满足达标排放和总量控制要求。</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符合性分析：</w:t>
      </w:r>
      <w:r>
        <w:rPr>
          <w:rFonts w:hint="eastAsia"/>
          <w:color w:val="000000" w:themeColor="text1"/>
          <w14:textFill>
            <w14:solidFill>
              <w14:schemeClr w14:val="tx1"/>
            </w14:solidFill>
          </w14:textFill>
        </w:rPr>
        <w:t>园区积极加强基础设施建设，确保污水全收集；园区由于片区较多，相隔较远，无法只设置一个排污口，但每个片区仅设置了一个排污口。</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加强园区环境监管。强化园区监测监控，加强园区环境信息化建设和信息公开，园区管理机构应按要求组织建立“一园一档”。园区管理机构要会同生态环境、应急等部门，定期开展园区环境风险隐患大排查，各园区应及时修订突发环境事件应急预案，每年度组织开展突发环境事件应急演练，建设环境应急物资库，提升园区环境应急处置能力。构建企业、园区和政府职能部门三级风险防控联动体系，完善环境风险防控措施。开展环境排查整治，建立吸引社会资本投入生态环保的市场化机制，全面实施环境第三方治理。加快建立园区生态环境保护年度报告制度。逐步推行园区环境等级评价工作，建立园区环境诚信档案，并强化成果应用。</w:t>
      </w:r>
    </w:p>
    <w:p>
      <w:pPr>
        <w:pStyle w:val="51"/>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符合性分析：</w:t>
      </w:r>
      <w:r>
        <w:rPr>
          <w:rFonts w:hint="eastAsia"/>
          <w:color w:val="000000" w:themeColor="text1"/>
          <w14:textFill>
            <w14:solidFill>
              <w14:schemeClr w14:val="tx1"/>
            </w14:solidFill>
          </w14:textFill>
        </w:rPr>
        <w:t>园区内设置了</w:t>
      </w:r>
      <w:r>
        <w:rPr>
          <w:rFonts w:hint="eastAsia"/>
          <w:color w:val="000000" w:themeColor="text1"/>
          <w:lang w:val="en-US"/>
          <w14:textFill>
            <w14:solidFill>
              <w14:schemeClr w14:val="tx1"/>
            </w14:solidFill>
          </w14:textFill>
        </w:rPr>
        <w:t>1</w:t>
      </w:r>
      <w:r>
        <w:rPr>
          <w:rFonts w:hint="eastAsia"/>
          <w:color w:val="000000" w:themeColor="text1"/>
          <w14:textFill>
            <w14:solidFill>
              <w14:schemeClr w14:val="tx1"/>
            </w14:solidFill>
          </w14:textFill>
        </w:rPr>
        <w:t>个小微站，园区组织编制了突发环境事件应急预案，并每年均进行演练；按应急预案的要求落实了三级防控联动体系；园区聘请第三方治理机构，协助园区环境治理水平；园区近几年信用评价上均为环保合格园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综上所述，园区落实了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湖南省“十四五”产业园区发展规划</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提出的环境保护方面的要求。本轮规划与</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湖南省“十四五”产业园区发展规划</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是协调的。</w:t>
      </w:r>
    </w:p>
    <w:p>
      <w:pPr>
        <w:pStyle w:val="3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产业园、</w:t>
      </w:r>
      <w:r>
        <w:rPr>
          <w:color w:val="000000" w:themeColor="text1"/>
          <w14:textFill>
            <w14:solidFill>
              <w14:schemeClr w14:val="tx1"/>
            </w14:solidFill>
          </w14:textFill>
        </w:rPr>
        <w:t>环境保护相关政策规划的协调性分析</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与《大气污染防治行动计划》协调性分析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与《大气污染防治行动计划》的符合性分析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
        <w:gridCol w:w="4529"/>
        <w:gridCol w:w="2530"/>
        <w:gridCol w:w="7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52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规划/文件要求</w:t>
            </w:r>
          </w:p>
        </w:tc>
        <w:tc>
          <w:tcPr>
            <w:tcW w:w="253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开发区情况</w:t>
            </w:r>
          </w:p>
        </w:tc>
        <w:tc>
          <w:tcPr>
            <w:tcW w:w="79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4529"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一）其他地区原则上不再新建每小时10蒸吨以下的燃煤锅炉。在供热供气管网不能覆盖的地区，改用电、新能源或洁净煤，推广应用高效节能环保型锅炉。在化工、造纸、印染、制革、制药等产业集聚区，通过集中建设热电联产机组逐步淘汰分散燃煤锅炉。</w:t>
            </w:r>
          </w:p>
        </w:tc>
        <w:tc>
          <w:tcPr>
            <w:tcW w:w="2530" w:type="dxa"/>
            <w:vAlign w:val="center"/>
          </w:tcPr>
          <w:p>
            <w:pPr>
              <w:pStyle w:val="36"/>
              <w:ind w:firstLine="42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内</w:t>
            </w:r>
            <w:r>
              <w:rPr>
                <w:rFonts w:hint="eastAsia"/>
                <w:color w:val="000000" w:themeColor="text1"/>
                <w14:textFill>
                  <w14:solidFill>
                    <w14:schemeClr w14:val="tx1"/>
                  </w14:solidFill>
                </w14:textFill>
              </w:rPr>
              <w:t>目前没有燃煤锅炉。开发区目前已接通天然气管网。开发区不属于</w:t>
            </w:r>
            <w:r>
              <w:rPr>
                <w:color w:val="000000" w:themeColor="text1"/>
                <w14:textFill>
                  <w14:solidFill>
                    <w14:schemeClr w14:val="tx1"/>
                  </w14:solidFill>
                </w14:textFill>
              </w:rPr>
              <w:t>化工、造纸、印染、制革、制药等产业集聚区</w:t>
            </w:r>
            <w:r>
              <w:rPr>
                <w:rFonts w:hint="eastAsia"/>
                <w:color w:val="000000" w:themeColor="text1"/>
                <w14:textFill>
                  <w14:solidFill>
                    <w14:schemeClr w14:val="tx1"/>
                  </w14:solidFill>
                </w14:textFill>
              </w:rPr>
              <w:t>，不需要建设集中供热设施。</w:t>
            </w:r>
          </w:p>
        </w:tc>
        <w:tc>
          <w:tcPr>
            <w:tcW w:w="79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w:t>
            </w:r>
          </w:p>
        </w:tc>
        <w:tc>
          <w:tcPr>
            <w:tcW w:w="4529"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（四）严控“两高”行业新增产能。修订高耗能、高污染和资源性行业准入条件，明确资源能源节约和污染物排放等指标。</w:t>
            </w:r>
            <w:r>
              <w:rPr>
                <w:rFonts w:hint="eastAsia"/>
                <w:color w:val="000000" w:themeColor="text1"/>
                <w14:textFill>
                  <w14:solidFill>
                    <w14:schemeClr w14:val="tx1"/>
                  </w14:solidFill>
                </w14:textFill>
              </w:rPr>
              <w:t>e</w:t>
            </w:r>
            <w:r>
              <w:rPr>
                <w:color w:val="000000" w:themeColor="text1"/>
                <w14:textFill>
                  <w14:solidFill>
                    <w14:schemeClr w14:val="tx1"/>
                  </w14:solidFill>
                </w14:textFill>
              </w:rPr>
              <w:t>有条件的地区要制定符合当地功能定位、严于国家要求的产业准入目录。严格控制“两高”行业新增产能，新、改、扩建项目要实行产能等量或减量置换。</w:t>
            </w:r>
          </w:p>
        </w:tc>
        <w:tc>
          <w:tcPr>
            <w:tcW w:w="2530" w:type="dxa"/>
            <w:vAlign w:val="center"/>
          </w:tcPr>
          <w:p>
            <w:pPr>
              <w:pStyle w:val="36"/>
              <w:ind w:firstLine="42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开发区目前企业中有色金属冶炼产业，后续新、扩、改项目将严格按“两高”行业的准入要求</w:t>
            </w:r>
            <w:r>
              <w:rPr>
                <w:color w:val="000000" w:themeColor="text1"/>
                <w14:textFill>
                  <w14:solidFill>
                    <w14:schemeClr w14:val="tx1"/>
                  </w14:solidFill>
                </w14:textFill>
              </w:rPr>
              <w:t>。</w:t>
            </w:r>
          </w:p>
        </w:tc>
        <w:tc>
          <w:tcPr>
            <w:tcW w:w="79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w:t>
            </w:r>
          </w:p>
        </w:tc>
        <w:tc>
          <w:tcPr>
            <w:tcW w:w="4529"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（十）大力发展循环经济。鼓励产业集聚发展，实施园区循环化改造，推进能源梯级利用、水资源循环利用、废物交换利用、土地</w:t>
            </w:r>
            <w:r>
              <w:rPr>
                <w:rFonts w:hint="eastAsia"/>
                <w:color w:val="000000" w:themeColor="text1"/>
                <w14:textFill>
                  <w14:solidFill>
                    <w14:schemeClr w14:val="tx1"/>
                  </w14:solidFill>
                </w14:textFill>
              </w:rPr>
              <w:t>e</w:t>
            </w:r>
            <w:r>
              <w:rPr>
                <w:color w:val="000000" w:themeColor="text1"/>
                <w14:textFill>
                  <w14:solidFill>
                    <w14:schemeClr w14:val="tx1"/>
                  </w14:solidFill>
                </w14:textFill>
              </w:rPr>
              <w:t>节约集约利用，促进企业循环式生产、园区循环式发展、产业循环式组合，构建循环型工业体系。</w:t>
            </w:r>
          </w:p>
        </w:tc>
        <w:tc>
          <w:tcPr>
            <w:tcW w:w="2530" w:type="dxa"/>
            <w:vAlign w:val="center"/>
          </w:tcPr>
          <w:p>
            <w:pPr>
              <w:pStyle w:val="36"/>
              <w:ind w:firstLine="42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将持续推进循环经济工作，</w:t>
            </w:r>
            <w:r>
              <w:rPr>
                <w:rFonts w:hint="eastAsia"/>
                <w:color w:val="000000" w:themeColor="text1"/>
                <w14:textFill>
                  <w14:solidFill>
                    <w14:schemeClr w14:val="tx1"/>
                  </w14:solidFill>
                </w14:textFill>
              </w:rPr>
              <w:t>每年</w:t>
            </w:r>
            <w:r>
              <w:rPr>
                <w:color w:val="000000" w:themeColor="text1"/>
                <w14:textFill>
                  <w14:solidFill>
                    <w14:schemeClr w14:val="tx1"/>
                  </w14:solidFill>
                </w14:textFill>
              </w:rPr>
              <w:t>开展土地集约评价</w:t>
            </w:r>
            <w:r>
              <w:rPr>
                <w:rFonts w:hint="eastAsia"/>
                <w:color w:val="000000" w:themeColor="text1"/>
                <w14:textFill>
                  <w14:solidFill>
                    <w14:schemeClr w14:val="tx1"/>
                  </w14:solidFill>
                </w14:textFill>
              </w:rPr>
              <w:t>。</w:t>
            </w:r>
          </w:p>
        </w:tc>
        <w:tc>
          <w:tcPr>
            <w:tcW w:w="79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4"/>
        <w:rPr>
          <w:color w:val="000000" w:themeColor="text1"/>
          <w14:textFill>
            <w14:solidFill>
              <w14:schemeClr w14:val="tx1"/>
            </w14:solidFill>
          </w14:textFill>
        </w:rPr>
      </w:pPr>
      <w:r>
        <w:rPr>
          <w:color w:val="000000" w:themeColor="text1"/>
          <w14:textFill>
            <w14:solidFill>
              <w14:schemeClr w14:val="tx1"/>
            </w14:solidFill>
          </w14:textFill>
        </w:rPr>
        <w:t>与《水污染防治行动计划》协调性分析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与《水污染防治行动计划》的符合性分析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1"/>
        <w:gridCol w:w="4514"/>
        <w:gridCol w:w="2444"/>
        <w:gridCol w:w="8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51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规划/文件要求</w:t>
            </w:r>
          </w:p>
        </w:tc>
        <w:tc>
          <w:tcPr>
            <w:tcW w:w="244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开发区情况</w:t>
            </w:r>
          </w:p>
        </w:tc>
        <w:tc>
          <w:tcPr>
            <w:tcW w:w="88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4514"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强化经济技术开发区、高新技术产业开发区、出口加工区等工业集聚区污染治理。集聚区内工业废水必须经预处理达到集中处理要求，方可进入污水集中处理设施。新建、升级工业集聚区应同步规划、建设污水、垃圾集中处理等污染治理设施。2017年底前，工业集聚区应按规定建成污水集中处理设施，并安装自动在线监控装置。</w:t>
            </w:r>
          </w:p>
        </w:tc>
        <w:tc>
          <w:tcPr>
            <w:tcW w:w="2444"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开发区湖南（沅陵）台湾工业园目前废水由沅陵产业开发区污水处理厂处理，污水处理厂投入了运行，按要求安装进水和出水的在线监控装置。</w:t>
            </w:r>
          </w:p>
        </w:tc>
        <w:tc>
          <w:tcPr>
            <w:tcW w:w="88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w:t>
            </w:r>
          </w:p>
        </w:tc>
        <w:tc>
          <w:tcPr>
            <w:tcW w:w="4514"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七大重点流域干流沿岸，要严格控制石油加工、化学原料和化学制品制造、医药制造、化学纤维制造、有色金属冶炼、纺织印染等项目环境风险，合理布局生产装置及危险化学品仓储等设施。</w:t>
            </w:r>
          </w:p>
        </w:tc>
        <w:tc>
          <w:tcPr>
            <w:tcW w:w="2444"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开发区所在位置不属于</w:t>
            </w:r>
            <w:r>
              <w:rPr>
                <w:color w:val="000000" w:themeColor="text1"/>
                <w14:textFill>
                  <w14:solidFill>
                    <w14:schemeClr w14:val="tx1"/>
                  </w14:solidFill>
                </w14:textFill>
              </w:rPr>
              <w:t>七大重点流域干流沿岸。</w:t>
            </w:r>
          </w:p>
        </w:tc>
        <w:tc>
          <w:tcPr>
            <w:tcW w:w="88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4"/>
        <w:rPr>
          <w:color w:val="000000" w:themeColor="text1"/>
          <w14:textFill>
            <w14:solidFill>
              <w14:schemeClr w14:val="tx1"/>
            </w14:solidFill>
          </w14:textFill>
        </w:rPr>
      </w:pPr>
      <w:r>
        <w:rPr>
          <w:color w:val="000000" w:themeColor="text1"/>
          <w14:textFill>
            <w14:solidFill>
              <w14:schemeClr w14:val="tx1"/>
            </w14:solidFill>
          </w14:textFill>
        </w:rPr>
        <w:t>与《土壤污染防治行动计划》协调性分析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与《土壤污染防治行动计划》的符合性分析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891"/>
        <w:gridCol w:w="2275"/>
        <w:gridCol w:w="6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89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规划/文件要求</w:t>
            </w:r>
          </w:p>
        </w:tc>
        <w:tc>
          <w:tcPr>
            <w:tcW w:w="227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开发区情况</w:t>
            </w:r>
          </w:p>
        </w:tc>
        <w:tc>
          <w:tcPr>
            <w:tcW w:w="67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4891" w:type="dxa"/>
            <w:vAlign w:val="center"/>
          </w:tcPr>
          <w:p>
            <w:pPr>
              <w:pStyle w:val="36"/>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明确监管重点。重点监测土壤中镉、汞、砷、铅、铬等重金属和多环芳烃、石油烃等有机污染物，重点监管有色金属矿采选、有色金属冶炼、石油开采、石油加工、化工、焦化、电镀、制革等行业，以及产粮（油）大县、地级以上城市建成区等区域。……严格控制在优先保护类耕地集中区域新建有色金属冶炼、石油加工、化工、焦化、电镀、制革等行业企业，现有相关行业企业要采用新技术、新工艺，加快提标升级改造步伐。……加强规划</w:t>
            </w:r>
            <w:r>
              <w:rPr>
                <w:rFonts w:hint="eastAsia"/>
                <w:color w:val="000000" w:themeColor="text1"/>
                <w14:textFill>
                  <w14:solidFill>
                    <w14:schemeClr w14:val="tx1"/>
                  </w14:solidFill>
                </w14:textFill>
              </w:rPr>
              <w:t>区域</w:t>
            </w:r>
            <w:r>
              <w:rPr>
                <w:color w:val="000000" w:themeColor="text1"/>
                <w14:textFill>
                  <w14:solidFill>
                    <w14:schemeClr w14:val="tx1"/>
                  </w14:solidFill>
                </w14:textFill>
              </w:rPr>
              <w:t>和建设项目布局论证，根据土壤等环境承载能力，合理确定区域功能定位、空间布局。鼓励工业企业集聚发展，提高土地节约集约利用水平，减少土壤污染。严格执行相关行业企业布局选址要求，禁止在居民区、学校、医疗和养老机构等周边新建有色金属冶炼、焦化等行业企业；结合推进新型城镇化、产业结构调整和化解过剩产能等，有序搬迁或依法关闭对土壤造成严重污染的现有企业……</w:t>
            </w:r>
          </w:p>
        </w:tc>
        <w:tc>
          <w:tcPr>
            <w:tcW w:w="2275" w:type="dxa"/>
            <w:vAlign w:val="center"/>
          </w:tcPr>
          <w:p>
            <w:pPr>
              <w:pStyle w:val="36"/>
              <w:ind w:firstLine="42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开发区扩区</w:t>
            </w:r>
            <w:r>
              <w:rPr>
                <w:color w:val="000000" w:themeColor="text1"/>
                <w14:textFill>
                  <w14:solidFill>
                    <w14:schemeClr w14:val="tx1"/>
                  </w14:solidFill>
                </w14:textFill>
              </w:rPr>
              <w:t>用地</w:t>
            </w:r>
            <w:r>
              <w:rPr>
                <w:rFonts w:hint="eastAsia"/>
                <w:color w:val="000000" w:themeColor="text1"/>
                <w14:textFill>
                  <w14:solidFill>
                    <w14:schemeClr w14:val="tx1"/>
                  </w14:solidFill>
                </w14:textFill>
              </w:rPr>
              <w:t>类型为建设用地，</w:t>
            </w:r>
            <w:r>
              <w:rPr>
                <w:color w:val="000000" w:themeColor="text1"/>
                <w14:textFill>
                  <w14:solidFill>
                    <w14:schemeClr w14:val="tx1"/>
                  </w14:solidFill>
                </w14:textFill>
              </w:rPr>
              <w:t>没有占用基本农田；现有企业不涉及石油加工、焦化、制革等行业企业</w:t>
            </w:r>
            <w:r>
              <w:rPr>
                <w:rFonts w:hint="eastAsia"/>
                <w:color w:val="000000" w:themeColor="text1"/>
                <w14:textFill>
                  <w14:solidFill>
                    <w14:schemeClr w14:val="tx1"/>
                  </w14:solidFill>
                </w14:textFill>
              </w:rPr>
              <w:t>。开发区建设</w:t>
            </w:r>
            <w:r>
              <w:rPr>
                <w:color w:val="000000" w:themeColor="text1"/>
                <w14:textFill>
                  <w14:solidFill>
                    <w14:schemeClr w14:val="tx1"/>
                  </w14:solidFill>
                </w14:textFill>
              </w:rPr>
              <w:t>可推动工业企业集聚发展，提高土地节约集约</w:t>
            </w:r>
            <w:r>
              <w:rPr>
                <w:rFonts w:hint="eastAsia"/>
                <w:color w:val="000000" w:themeColor="text1"/>
                <w14:textFill>
                  <w14:solidFill>
                    <w14:schemeClr w14:val="tx1"/>
                  </w14:solidFill>
                </w14:textFill>
              </w:rPr>
              <w:t>利用水平。开发区辰州工业新区产业园、麻溪铺有色金属产业园中的企业均开展了土壤的监督检测，且片区周边并没有集中的耕地。</w:t>
            </w:r>
          </w:p>
        </w:tc>
        <w:tc>
          <w:tcPr>
            <w:tcW w:w="67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与《湖南省空气质量持续改善行动计划实施方案》的协调性分析</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园区目前的发展和本轮规划与《湖南省空气质量持续改善行动计划实施方案》</w:t>
      </w:r>
      <w:r>
        <w:rPr>
          <w:rFonts w:hint="eastAsia"/>
          <w:color w:val="000000" w:themeColor="text1"/>
          <w:lang w:val="en-US"/>
          <w14:textFill>
            <w14:solidFill>
              <w14:schemeClr w14:val="tx1"/>
            </w14:solidFill>
          </w14:textFill>
        </w:rPr>
        <w:t>湘政办发〔2024〕33号</w:t>
      </w:r>
      <w:r>
        <w:rPr>
          <w:rFonts w:hint="eastAsia"/>
          <w:color w:val="000000" w:themeColor="text1"/>
          <w14:textFill>
            <w14:solidFill>
              <w14:schemeClr w14:val="tx1"/>
            </w14:solidFill>
          </w14:textFill>
        </w:rPr>
        <w:t>的相符性详见下表。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与《湖南省空气质量持续改善行动计划实施方案》的协调性分析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462"/>
        <w:gridCol w:w="1865"/>
        <w:gridCol w:w="66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546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规划/文件要求</w:t>
            </w:r>
          </w:p>
        </w:tc>
        <w:tc>
          <w:tcPr>
            <w:tcW w:w="186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园区情况</w:t>
            </w:r>
          </w:p>
        </w:tc>
        <w:tc>
          <w:tcPr>
            <w:tcW w:w="66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是否相符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两高”项目管理。新改扩建项目严格落实国家和省级产业规划、产业政策、生态环境分区管控方案、规划环评、项目环评、节能审查、产能置换、重点污染物总量控制、污染物排放区域削减、碳排放达峰目标等相关要求，原则上达到国内清洁生产先进水平、采用清洁运输方式，主要产品能效达到标杆水平。涉及产能置换、能耗替代、煤耗替代和污染物总量控制的项目，被置换产能及其配套设施关停，能耗、煤耗、新增污染物总量削减替代措施落实后，新建项目方可投产。严禁新增钢铁产能，建立多元化废钢资源保障体系，持续提升钢铁工业的废钢使用量。</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沅陵山能环保科技有限公司为涉及铅锌冶炼，湖南辰州矿业有限责任公司涉及锑冶炼，符合《湖南省“两高”行业管理名录》的条件，为“两高”企业。近年来未实施过新、扩、改项目。</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快退出重点行业落后产能。严格执行《产业结构调整指导目录》，制定实施利用能耗、环保、质量、安全、技术等标准推动落后产能退出年度工作方案，加大重点行业落后产能淘汰力度，推动大规模设备更新，开展小型生物质锅炉清理整合。到2025年，全省砖瓦窑企业全部完成综合整治，基本完成2蒸吨/小时及以下生物质锅炉淘汰。</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园区目前并没有不符合产业政策的企业。园区没有2t/h及以下的生物质锅炉。</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全面开展传统产业和园区改造提升。以石油化工、建材、矿业等传统产业为重点，推动工艺绿色升级、清洁生产改造。2024年年底前中小微型传统制造企业集中的城市要制定涉气产业集群发展规划，严格项目审批，严防污染下乡。开展重点涉气产业集群和作坊式产业小集群排查整治，按照“四个一批”实施分类治理。到2025年，制造业企业入园率达到85%以上。实施园区节能环保提升工程，支持长沙、株洲、衡阳以及国家级园区开展清洁生产整体审核试点示范。引导各地因地制宜规划建设一批涉VOCs“绿岛”项目。</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园区鼓励企业自主开展清洁生产，鼓励工艺的绿色升级。</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推动低VOCs含量原辅材料和产品源头替代。严格执行VOCs含量限值标准，严格控制生产和使用高VOCs含量原辅材料建设项目。以工业涂装、包装印刷、家具制造和电子行业等为重点，指导企业制定低（无）VOCs含量原辅材料替代计划，大力推动“应替尽替”。室外构筑物防护和城市道路交通标志推广使用低（无）VOCs含量涂料。</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园区指导并鼓励企业实施低VOC原辅料的替代。</w:t>
            </w:r>
          </w:p>
        </w:tc>
        <w:tc>
          <w:tcPr>
            <w:tcW w:w="663" w:type="dxa"/>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科学合理控制煤炭消费总量。全省原则上不再新增自备燃煤机组，推进自备燃煤机组实施清洁能源替代。引导重点行业减煤降碳、节能增效，削减非电力用煤。对支撑电力稳定供应、电网安全运行、清洁能源大规模并网消纳的煤电项目及其用煤量予以合理保障。建设全省重点行业煤炭消费监测系统。到2025年，煤炭消费占一次能源消费比重下降至51%左右，电煤消费占比达到55%以上。</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园区目前以天然气、电力为主要能源。</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推进燃煤锅炉关停整合和散煤替代。县级及以上城市建成区原则上不再新建35蒸吨/小时及以下燃煤锅炉，加快重点城市35蒸吨/小时及以下燃煤锅炉淘汰，加大民用及农业散煤替代力度，高污染燃料禁燃区散煤动态清零。到2025年，全省基本淘汰燃煤热风炉、固定炉排燃煤锅炉和10蒸吨/小时及以下燃煤锅炉；完成燃煤烤烟房清洁能源替代12500座。发挥热电联产电厂供热能力，开展管网覆盖范围内燃煤锅炉、落后燃煤小热电机组（含自备电厂）和生物质锅炉关停或整合。</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园区目前以天然气、电力为主要能源。</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实施工业炉窑清洁能源替代。以使用高污染燃料的工业炉窑为重点，大力推进电能、天然气替代。新改扩建加热炉、热处理炉、干燥炉、熔化炉原则上采用清洁低碳能源。全省原则上不再新增燃料类煤气发生炉，逐步淘汰固定床间歇式煤气发生炉。</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园区目前以天然气、电力为主要能源。</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深化VOCs全流程综合治理。全面开展VOCs收集治理设施排查整治，加快淘汰不合规定、低效失效、无法稳定达标的治理设施。落实非正常工况作业产生的VOCs废气、污水处理场所高浓度有机废气、含VOCs有机废水储罐和装置区集水井（池）有机废气收集处理要求。规范开展泄漏检测与修复，2025年年底前省级及以上石化、化工园区建立统一的泄漏检测与修复信息管理平台。</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园区不属于石化、化工园区。本次规划环评对落后的VOC治理措施提出淘汰要求。</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54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推进重点行业污染深度治理。新改扩建钢铁冶炼、石化化工、电解铝、水泥、陶瓷、平板玻璃项目须达到环保绩效A级水平。2025年年底前全面完成4家钢铁企业、65蒸吨/小时及以上燃煤锅炉、重点城市30条水泥熟料线以及湖南煤化新能源超低排放改造。全面开展锅炉窑简易低效污染治理设施排查和分类处置，确保工业企业全面稳定达标排放，大力推进砖瓦、陶瓷、玻璃、有色等行业深度治理。开展燃气锅炉低氮燃烧改造，新建燃气锅炉全部采用低氮燃烧器。严格工业源烟气脱硫脱硝氨逃逸防控，加强烟气和含VOCs废气旁路管理。</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园区不涉及钢铁冶炼、石化化工、电解铝、水泥、陶瓷、平板玻璃等行业。</w:t>
            </w:r>
          </w:p>
        </w:tc>
        <w:tc>
          <w:tcPr>
            <w:tcW w:w="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bl>
    <w:p>
      <w:pPr>
        <w:pStyle w:val="34"/>
        <w:jc w:val="both"/>
        <w:rPr>
          <w:color w:val="000000" w:themeColor="text1"/>
          <w14:textFill>
            <w14:solidFill>
              <w14:schemeClr w14:val="tx1"/>
            </w14:solidFill>
          </w14:textFill>
        </w:rPr>
      </w:pPr>
      <w:r>
        <w:rPr>
          <w:color w:val="000000" w:themeColor="text1"/>
          <w14:textFill>
            <w14:solidFill>
              <w14:schemeClr w14:val="tx1"/>
            </w14:solidFill>
          </w14:textFill>
        </w:rPr>
        <w:t>与《关于进一步规范城镇（园区）污水处理环境管理的通知》（环水体〔2020〕71号）协调性分析</w:t>
      </w:r>
    </w:p>
    <w:p>
      <w:pPr>
        <w:pStyle w:val="52"/>
        <w:rPr>
          <w:color w:val="000000" w:themeColor="text1"/>
          <w14:textFill>
            <w14:solidFill>
              <w14:schemeClr w14:val="tx1"/>
            </w14:solidFill>
          </w14:textFill>
        </w:rPr>
      </w:pPr>
      <w:r>
        <w:rPr>
          <w:rStyle w:val="53"/>
          <w:b/>
          <w:snapToGrid w:val="0"/>
          <w:color w:val="000000" w:themeColor="text1"/>
          <w14:textFill>
            <w14:solidFill>
              <w14:schemeClr w14:val="tx1"/>
            </w14:solidFill>
          </w14:textFill>
        </w:rPr>
        <w:t>与《关于进一步规范城镇（园区）污水处理环境管理的通知》的相符性一览</w:t>
      </w:r>
      <w:r>
        <w:rPr>
          <w:color w:val="000000" w:themeColor="text1"/>
          <w14:textFill>
            <w14:solidFill>
              <w14:schemeClr w14:val="tx1"/>
            </w14:solidFill>
          </w14:textFill>
        </w:rPr>
        <w:t>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5"/>
        <w:gridCol w:w="4930"/>
        <w:gridCol w:w="2272"/>
        <w:gridCol w:w="65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930" w:type="dxa"/>
            <w:vAlign w:val="center"/>
          </w:tcPr>
          <w:p>
            <w:pPr>
              <w:pStyle w:val="36"/>
              <w:rPr>
                <w:bCs/>
                <w:snapToGrid/>
                <w:color w:val="000000" w:themeColor="text1"/>
                <w:kern w:val="2"/>
                <w14:textFill>
                  <w14:solidFill>
                    <w14:schemeClr w14:val="tx1"/>
                  </w14:solidFill>
                </w14:textFill>
              </w:rPr>
            </w:pPr>
            <w:r>
              <w:rPr>
                <w:color w:val="000000" w:themeColor="text1"/>
                <w14:textFill>
                  <w14:solidFill>
                    <w14:schemeClr w14:val="tx1"/>
                  </w14:solidFill>
                </w14:textFill>
              </w:rPr>
              <w:t>环水体〔2020〕71号</w:t>
            </w:r>
          </w:p>
        </w:tc>
        <w:tc>
          <w:tcPr>
            <w:tcW w:w="2272" w:type="dxa"/>
            <w:vAlign w:val="center"/>
          </w:tcPr>
          <w:p>
            <w:pPr>
              <w:pStyle w:val="36"/>
              <w:rPr>
                <w:bCs/>
                <w:snapToGrid/>
                <w:color w:val="000000" w:themeColor="text1"/>
                <w:kern w:val="2"/>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情况</w:t>
            </w:r>
          </w:p>
        </w:tc>
        <w:tc>
          <w:tcPr>
            <w:tcW w:w="656" w:type="dxa"/>
            <w:vAlign w:val="center"/>
          </w:tcPr>
          <w:p>
            <w:pPr>
              <w:pStyle w:val="36"/>
              <w:rPr>
                <w:bCs/>
                <w:snapToGrid/>
                <w:color w:val="000000" w:themeColor="text1"/>
                <w:kern w:val="2"/>
                <w14:textFill>
                  <w14:solidFill>
                    <w14:schemeClr w14:val="tx1"/>
                  </w14:solidFill>
                </w14:textFill>
              </w:rPr>
            </w:pPr>
            <w:r>
              <w:rPr>
                <w:rFonts w:hint="eastAsia"/>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5" w:type="dxa"/>
            <w:vAlign w:val="center"/>
          </w:tcPr>
          <w:p>
            <w:pPr>
              <w:pStyle w:val="36"/>
              <w:rPr>
                <w:bCs/>
                <w:snapToGrid/>
                <w:color w:val="000000" w:themeColor="text1"/>
                <w:kern w:val="2"/>
                <w14:textFill>
                  <w14:solidFill>
                    <w14:schemeClr w14:val="tx1"/>
                  </w14:solidFill>
                </w14:textFill>
              </w:rPr>
            </w:pPr>
            <w:r>
              <w:rPr>
                <w:bCs/>
                <w:snapToGrid/>
                <w:color w:val="000000" w:themeColor="text1"/>
                <w:kern w:val="2"/>
                <w14:textFill>
                  <w14:solidFill>
                    <w14:schemeClr w14:val="tx1"/>
                  </w14:solidFill>
                </w14:textFill>
              </w:rPr>
              <w:t>1</w:t>
            </w:r>
          </w:p>
        </w:tc>
        <w:tc>
          <w:tcPr>
            <w:tcW w:w="4930" w:type="dxa"/>
            <w:vAlign w:val="center"/>
          </w:tcPr>
          <w:p>
            <w:pPr>
              <w:pStyle w:val="36"/>
              <w:ind w:firstLine="420" w:firstLineChars="200"/>
              <w:jc w:val="both"/>
              <w:rPr>
                <w:bCs/>
                <w:snapToGrid/>
                <w:color w:val="000000" w:themeColor="text1"/>
                <w:kern w:val="2"/>
                <w14:textFill>
                  <w14:solidFill>
                    <w14:schemeClr w14:val="tx1"/>
                  </w14:solidFill>
                </w14:textFill>
              </w:rPr>
            </w:pPr>
            <w:r>
              <w:rPr>
                <w:bCs/>
                <w:snapToGrid/>
                <w:color w:val="000000" w:themeColor="text1"/>
                <w:kern w:val="2"/>
                <w14:textFill>
                  <w14:solidFill>
                    <w14:schemeClr w14:val="tx1"/>
                  </w14:solidFill>
                </w14:textFill>
              </w:rPr>
              <w:t>督促市、县级地方人民政府或园区管理机构因地制宜建设园区污水处理设施。对入驻企业较少，主要产生生活污水，工业污水中不含有毒有害物质的园区，园区污水可就近依托城镇污水处理厂进行处理；对工业污水排放量较小的园区，可依托园区的企业治污设施处理后达标排放，或由园区管理机构按照“三同时”原则（污染治理设施与生产设施同步规划、同步建设、同步投运），分期建设、分组运行园区污水处理设施。新建冶金、电镀、有色金属、化工、印染、制革、原料药制造等企业，原则上布局在符合产业定位的园区，其排放的污水由园区污水处理厂集中处理。</w:t>
            </w:r>
          </w:p>
        </w:tc>
        <w:tc>
          <w:tcPr>
            <w:tcW w:w="2272" w:type="dxa"/>
            <w:vAlign w:val="center"/>
          </w:tcPr>
          <w:p>
            <w:pPr>
              <w:pStyle w:val="36"/>
              <w:jc w:val="both"/>
              <w:rPr>
                <w:bCs/>
                <w:snapToGrid/>
                <w:color w:val="000000" w:themeColor="text1"/>
                <w:kern w:val="2"/>
                <w14:textFill>
                  <w14:solidFill>
                    <w14:schemeClr w14:val="tx1"/>
                  </w14:solidFill>
                </w14:textFill>
              </w:rPr>
            </w:pPr>
            <w:r>
              <w:rPr>
                <w:rFonts w:hint="eastAsia"/>
                <w:bCs/>
                <w:snapToGrid/>
                <w:color w:val="000000" w:themeColor="text1"/>
                <w:kern w:val="2"/>
                <w14:textFill>
                  <w14:solidFill>
                    <w14:schemeClr w14:val="tx1"/>
                  </w14:solidFill>
                </w14:textFill>
              </w:rPr>
              <w:t>园区建设有沅陵产业开发区污水处理厂。</w:t>
            </w:r>
          </w:p>
        </w:tc>
        <w:tc>
          <w:tcPr>
            <w:tcW w:w="656" w:type="dxa"/>
            <w:vAlign w:val="center"/>
          </w:tcPr>
          <w:p>
            <w:pPr>
              <w:pStyle w:val="36"/>
              <w:rPr>
                <w:bCs/>
                <w:snapToGrid/>
                <w:color w:val="000000" w:themeColor="text1"/>
                <w:kern w:val="2"/>
                <w14:textFill>
                  <w14:solidFill>
                    <w14:schemeClr w14:val="tx1"/>
                  </w14:solidFill>
                </w14:textFill>
              </w:rPr>
            </w:pPr>
            <w:r>
              <w:rPr>
                <w:bCs/>
                <w:snapToGrid/>
                <w:color w:val="000000" w:themeColor="text1"/>
                <w:kern w:val="2"/>
                <w14:textFill>
                  <w14:solidFill>
                    <w14:schemeClr w14:val="tx1"/>
                  </w14:solidFill>
                </w14:textFill>
              </w:rPr>
              <w:t>符合</w:t>
            </w:r>
          </w:p>
        </w:tc>
      </w:tr>
    </w:tbl>
    <w:p>
      <w:pPr>
        <w:pStyle w:val="34"/>
        <w:rPr>
          <w:color w:val="000000" w:themeColor="text1"/>
          <w14:textFill>
            <w14:solidFill>
              <w14:schemeClr w14:val="tx1"/>
            </w14:solidFill>
          </w14:textFill>
        </w:rPr>
      </w:pPr>
      <w:r>
        <w:rPr>
          <w:color w:val="000000" w:themeColor="text1"/>
          <w14:textFill>
            <w14:solidFill>
              <w14:schemeClr w14:val="tx1"/>
            </w14:solidFill>
          </w14:textFill>
        </w:rPr>
        <w:t>与《关于进一步规范和加强产业园区生态环境管理的通知》（湘环发〔2020〕27号）协调性分析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进一步规范和加强产业园区生态环境管理，湖南省生态环境厅、湖南省发展和改革委员会、湖南省工业和信息化厅、湖南省自然资源厅、湖南省科学技术厅联合发文《关于进一步规范和加强产业园区生态环境管理的通知》（湘环发〔2020〕27号）。</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与其要求的相符性详见下表。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与《关于进一步规范和加强产业园区生态环境管理的通知》的相符性分析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3"/>
        <w:gridCol w:w="4662"/>
        <w:gridCol w:w="2663"/>
        <w:gridCol w:w="66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66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规划/文件要求</w:t>
            </w:r>
          </w:p>
        </w:tc>
        <w:tc>
          <w:tcPr>
            <w:tcW w:w="266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园区情况</w:t>
            </w:r>
          </w:p>
        </w:tc>
        <w:tc>
          <w:tcPr>
            <w:tcW w:w="66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是否相符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科学制定园区规划。园区总体发展规划、专项规划应符合当地国土空间规划、生态环境保护规划和“三线一单”管控等要求。园区主管部门按规定加快推进园区优化整合，各园区区块应集中连片，原则上不得超过3个区块。各园区要依据城镇国土空间规划编制详细规划，合理优化布局。</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根据上文分析，园区规划基本符合国土空间规划、生态环境保护规划和“三线一单”管控等要求；园区本轮扩区后未超过三个区块。园区正在组织机构针对各片区编制控制性详细规划。</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依法开展园区规划环境影响评价。各园区必须依法开展规划环评，已通过规划环评审查的园区，在规划定位等方面发生重大调整或修订的，应重新或补充开展规划环评。规划实施五年以上的园区，规划编制部门原则上应组织开展环境影响跟踪评价。对环境有重大影响的规划实施后，规划编制部门应及时组织跟踪评价。</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园区规划环评于2011年批复，于2022年进行了跟踪评价。本次园区拟进行扩区，委托机构开展了扩区规划环评。</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分类实行建设项目环评审批。加强规划环评与项目环评联动，对符合要求的园区试点开展项目环评审批告知承诺制改革，分类制定项目环评豁免、简化审批、严格项目环评、不予审批等管理要求，具体由生态环境部门制定清单目录。积极引导园区外工业项目向园区集聚发展，除矿产资源、能源开发等对选址有特殊要求的项目外，新上工业项目应当安排在省级及以上工业园区。禁止在长江湖南段和洞庭湖、湘江、资江、沅江、澧水干流岸线1公里范围内新建、扩建化工园区和化工项目</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园区严格按上一轮规划环评提出的准入要求引进项目；园区不属于环评改革试点的范围；园区不属于化工园区，未引进化工项目。</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园区废水收集处理。园区要按规定配套建设污水集中处理设施，安装进、出水自动在线监控系统，并与生态环境部门污染源在线监控管理平台联网。园区新建和调区扩区过程中应同步规划污水收集管网，按照“适度超前”原则建设污水管网，确保污水全收集。化工、有色等专业园区应加快改造现有管网，采用专用密闭管道输送废水，逐步实现“一企一管”和可视可监测要求。园区管理机构应建立排水系统监管制度和管理档案，全面排查整治管网错接混接、老旧破损、设施不能稳定达标运行等问题。规范设置园区集中污水处理设施排污口，原则上一个园区只设置一个排污口</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开发区目前废水由沅陵产业开发区污水处理厂处理，安装进、出水自动在线监控系统，并与生态环境部门污染源在线监控管理平台联网，按照“适度超前”原则建设污水管网，确保污水全收集。</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优化园区废气、固废处置。园区管理机构应督促涉VOCs（挥发性有机物）排放企业尽快实施VOCs污染治理，涉及有毒及恶臭气体的企业尽快建设有毒及恶臭气体收集、处理和应急处置设施。涉VOCs排放工业园区应加强资源共享，实施集中治理。推动建设固体废物集中处置设施，园区管理机构应督促企业强化固体废弃物源头减量措施，实现固废处置全流程管控，对不能自行利用或处置的危险废物，必须交有资质的经营单位进行处置。</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园区入驻企业均可做到废水、废气达标排放，固废妥善处置；目前园区尚未设置固体废物集中处置设施，各企业危险废物各自委托有资质单位进行处置。</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强化园区监测监控。强化园区管理机构的监管监测主体责任。各园区要明确环境管理机构和专业人员，加强监测监控能力建设，按规范要求设置环境监测点位，及时全面掌握园区环境质量状况和对周边环境影响情况。要制定并落实自行监测方案，依法依规公开相关监测信息。园区要逐步建立集污染源在线监控、企业生产工况、电能监控、视频监控及环保设施运行监控、环境质量监控于一体的园区数字化在线监控平台。</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园区建设有环境信息监管平台；园区设置有1个小微站；园区均进行了例行检测。</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强化园区监督执法。生态环境部门要加强对工业园区和园区重点企业的监管，创新监管方式，充分运用大数据，实行互联网+监管执法，对企业排污和污水处理设施运行情况进行预警、监督与查处。强化园区日常环境监管“双随机”抽查，建立环境管理台账，严厉打击环境违法行为，将环境违法信息记入社会诚信档案，及时向社会公布违法者名单。加快实现排污许可制全覆盖，对固定污染源实现“一证式”管理。2020年9月底前完成园区所有行业企业排污许可证核发工作。加大排污许可监管执法力度，强化证后管理和监管执法，督促排污单位持证排污、按证排污、落实环境保护主体责任。</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生态环境部门对园区内重点排污企业实施“双随机”抽查，严厉打击环境违法行为。园区已完成排污许可证核发工作。</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园区环境信息化建设和信息公开。园区管理机构应按要求组织建立“一园一档”，涵盖园区基本情况、企业基础档案、重点企业排污台账、管网建设和运行情况、污水处理设施建设和运行情况等内容，并实施动态管理，相关信息及时导入工业园区环境信息平台。园区管理机构应畅通公众沟通渠道，建立定期发布园区环境状况的机制，公布园区污染物排放状况、企业达标排放情况、环境基础设施建设和运行情况、环境风险防控措施落实情况等。</w:t>
            </w:r>
          </w:p>
        </w:tc>
        <w:tc>
          <w:tcPr>
            <w:tcW w:w="266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管理机构已组织建立“一园一档”，涵盖园区基本情况、企业基础档案、重点企业排污台账、管网建设和运行情况、污水处理设施建设和运行情况等内容，并实施动态管理，相关信息及时导入工业园区环境信息平台；园区会在官网上发布环境年度自评估报告，并公布相关内容。</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466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定期开展园区环境风险隐患大排查。园区管理机构要会同生态环境、应急等部门，定期对园区及有关企业进行环境保护、安全排查。相关职能部门对存在环境风险隐患的园区和企业依法下达整改通知，明确整改内容、时限和要求，园区管理机构负责督促落实到位。</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园区管理机构要会同生态环境、应急等部门等定期组织开展环境风险隐患大排查。对于存在环境风险隐患的园区和企业依法下达整改通知，明确整改内容、时限和要求。</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4662" w:type="dxa"/>
            <w:vAlign w:val="top"/>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环境应急保障能力建设。园区内企业应按照相关规定制定突发环境事件应急预案，落实环境风险防范措施。园区管理机构应编制综合环境应急预案并报相关职能部门备案，整合应急资源，储备环境应急物资及装备，每年组织开展应急演练，全面提升园区突发环境事件应急处理能力</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园区已编制应急预案，设有应急物资储备库，每年均进行演练。</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w:t>
            </w:r>
          </w:p>
        </w:tc>
        <w:tc>
          <w:tcPr>
            <w:tcW w:w="4662" w:type="dxa"/>
            <w:vAlign w:val="top"/>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完善环境风险防控体系。推进化工园区有毒有害气体环境风险预警体系建设，健全环境风险源数据库。构建企业、园区和政府职能部门三级风险防控联动体系，按突发环境事件应急预案的要求落实各项风险防范措施，增强园区风险防控能力。</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园区不属于化工园区；园区已按照应急预案要求建立企业、园区和政府职能部门三级风险防控联动体系。</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w:t>
            </w:r>
          </w:p>
        </w:tc>
        <w:tc>
          <w:tcPr>
            <w:tcW w:w="4662" w:type="dxa"/>
            <w:vAlign w:val="top"/>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展环境问题排查整治。园区管理机构应按照生态环境部门制定的排查文件等要求，每年至少组织开展两次以上园区环境问题的全面排查，针对排查出的问题制定并实施“一园一策”限期整治方案。涉及饮用水水源、生态保护红线等环境敏感区域的，应依法强化管理，及时清理整治违规项目和违法行为。园区应积极开展循环化改造，推动园区土地集约利用、能量梯级利用、废物交换利用、水的分类利用和循环使用。</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园区管委会会同生态环境部门每年不定期组织园区环境问题的全面排查，针对排查出的问题制定并实施“一园一策”限期整治方案。</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w:t>
            </w:r>
          </w:p>
        </w:tc>
        <w:tc>
          <w:tcPr>
            <w:tcW w:w="4662" w:type="dxa"/>
            <w:vAlign w:val="top"/>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推行园区环境第三方治理。加快推进统一规划、统一监测、统一监管、统一运营的一体化园区环境第三方治理服务模式，通过三年时间基本实现全覆盖。2020年，对国家级产业园区、涉及化工产业定位的园区推行园区第三方治理，2021年，对湘江流域和洞庭湖区的园区推行园区第三方治理，2022年，对其他园区推行园区第三方治理。</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园区已委托第三方机构协助治理。</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w:t>
            </w:r>
          </w:p>
        </w:tc>
        <w:tc>
          <w:tcPr>
            <w:tcW w:w="4662" w:type="dxa"/>
            <w:vAlign w:val="top"/>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联合惩戒。对不符合环保要求、污染治理设施不正常运行、环境安全隐患突出的园区，依法采取挂牌督办、约谈、公开曝光等措施限期整改。对未完成规划环评、逾期未按要求完成水污染治理设施和自动监控设施建设的园区，依法暂停审批和核准其增加水污染物排放的建设项目。对严重污染环境、破坏生态，或整改无效的园区，依法予以撤销、摘牌、降级。</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园区目前不涉及该条款，没有挂牌督办、约谈、公开曝光的相关内容。</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4662" w:type="dxa"/>
            <w:vAlign w:val="top"/>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严格落实责任。各市州、县市区政府要对本行政区域内园区生态环境保护负总责，切实加强组织领导，完善有关政策措施。各级发展改革、工业和信息化、自然资源、生态环境、住房城乡建设等部门要按照“三管三必须”认真落实各自职责，切实做好园区生态环境保护相关工作。园区管理机构要认真履行园区环境保护工作的主体责任，落实属地管理原则，确保园区环境保护各项目标任务完成。各级生态环境部门要严格落实统一监督管理责任，督促各级各部门各园区各企业落实好污染防治职责。</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园区管委会认真履行园区环境保护工作的主体责任，落实属地管理原则，确保园区环境保护各项目标任务完成。</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16</w:t>
            </w:r>
          </w:p>
        </w:tc>
        <w:tc>
          <w:tcPr>
            <w:tcW w:w="4662" w:type="dxa"/>
            <w:vAlign w:val="top"/>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完善园区考评体系。将园区履行生态环境保护责任情况作为省级生态环境保护督察重点内容，纳入环保目标责任绩效考核。建立园区生态环境保护年度报告制度，园区管理机构每年2月底前应将本园区上一年度环境管理情况报告报送当地生态环境部门和园区主管部门。省级生态环境部门每年4月底前组织开展园区上一年度环境状况与管理情况评估并发布评估报告。从2020年起，逐步推行园区环境信用等级评价工作，建立园区环境诚信档案，并强化成果应用。各级生态环境部门应定期将园区环境管理信息推送给发展改革部门，加大园区环境问题及其整改情况在产业园区综合评价体系中的权重。</w:t>
            </w:r>
          </w:p>
        </w:tc>
        <w:tc>
          <w:tcPr>
            <w:tcW w:w="2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园区2021~2023年为环保合格园区。</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相符</w:t>
            </w:r>
          </w:p>
        </w:tc>
      </w:tr>
    </w:tbl>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与《湖南省“十四五”重金属污染防治规划》协调性分析</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《湖南省“十四五”重金属污染防治规划》</w:t>
      </w:r>
      <w:r>
        <w:rPr>
          <w:color w:val="000000" w:themeColor="text1"/>
          <w14:textFill>
            <w14:solidFill>
              <w14:schemeClr w14:val="tx1"/>
            </w14:solidFill>
          </w14:textFill>
        </w:rPr>
        <w:t>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199"/>
        <w:gridCol w:w="1865"/>
        <w:gridCol w:w="7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序号</w:t>
            </w:r>
          </w:p>
        </w:tc>
        <w:tc>
          <w:tcPr>
            <w:tcW w:w="5199"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要求内容</w:t>
            </w:r>
          </w:p>
        </w:tc>
        <w:tc>
          <w:tcPr>
            <w:tcW w:w="1865"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规划情况</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1</w:t>
            </w:r>
          </w:p>
        </w:tc>
        <w:tc>
          <w:tcPr>
            <w:tcW w:w="51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强化工业园区污染治理。完善省级及以上工业集聚区污水集中处理设施，积极推进生态园区建设和循环化改造，加强配套管网建设，强化园区涉重金属污染管控，减少排入外环境的重金属污染物总量。全面推行园区环境第三方治理。加快推进统一规划、统一监测、统一监管、统一运营的一体化园区环境第三方治理服务模式，到</w:t>
            </w:r>
            <w:r>
              <w:rPr>
                <w:color w:val="000000" w:themeColor="text1"/>
                <w14:textFill>
                  <w14:solidFill>
                    <w14:schemeClr w14:val="tx1"/>
                  </w14:solidFill>
                </w14:textFill>
              </w:rPr>
              <w:t>2022</w:t>
            </w:r>
            <w:r>
              <w:rPr>
                <w:rFonts w:hint="eastAsia"/>
                <w:color w:val="000000" w:themeColor="text1"/>
                <w14:textFill>
                  <w14:solidFill>
                    <w14:schemeClr w14:val="tx1"/>
                  </w14:solidFill>
                </w14:textFill>
              </w:rPr>
              <w:t>年底，省级以上园区基本实现环境污染第三方治理全覆盖。</w:t>
            </w:r>
          </w:p>
        </w:tc>
        <w:tc>
          <w:tcPr>
            <w:tcW w:w="1865"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园区已委托第三方机构作为环保管家服务园区环境管理；开发区污水处理厂投入了运行，按要求安装进水和出水的在线监控装置。</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2</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优化重点行业企业布局。积极推动涉重金属产业集中优化发展，提升治理水平。禁止新建用汞的电石法（聚）氯乙烯生产工艺。新建、扩建的重点有色金属冶炼、电镀、制革企业优先选择布设在依法合规设立并经规划环评的产业园区。全面推进工业园区外涉重金属企业搬迁入园。</w:t>
            </w:r>
          </w:p>
        </w:tc>
        <w:tc>
          <w:tcPr>
            <w:tcW w:w="1865"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本次将麻溪铺片区纳入园区范围，是响应该文件要求。</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3</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严格重点行业企业准入管理。新（改、扩）建重点行业项目应符合产业政策、区域环评、规划环评、“三线一单”和行业环境准入管控要求。新（改、扩）建国家重点行业建设项目应明确具体的重金属污染物排放总量及来源，原则上应是全口径涉重金属重点行业企业清单内同一重点行业企业削减的重点重金属污染物排放量，当同一重点行业企业削减量无法满足时可从其他重点行业调剂。花垣县、常宁市、汨罗市、资兴市、桂阳县、永兴县、冷水江市等</w:t>
            </w:r>
            <w:r>
              <w:rPr>
                <w:snapToGrid/>
                <w:color w:val="000000" w:themeColor="text1"/>
                <w14:textFill>
                  <w14:solidFill>
                    <w14:schemeClr w14:val="tx1"/>
                  </w14:solidFill>
                </w14:textFill>
              </w:rPr>
              <w:t>7</w:t>
            </w:r>
            <w:r>
              <w:rPr>
                <w:rFonts w:hint="eastAsia"/>
                <w:snapToGrid/>
                <w:color w:val="000000" w:themeColor="text1"/>
                <w14:textFill>
                  <w14:solidFill>
                    <w14:schemeClr w14:val="tx1"/>
                  </w14:solidFill>
                </w14:textFill>
              </w:rPr>
              <w:t>个国家重点区域的新、改、扩建重点行业建设项目应遵循重点重金属（铅、汞、镉、铬、砷）污染物排放“减量替代”原则，减量替代比例不低于</w:t>
            </w:r>
            <w:r>
              <w:rPr>
                <w:snapToGrid/>
                <w:color w:val="000000" w:themeColor="text1"/>
                <w14:textFill>
                  <w14:solidFill>
                    <w14:schemeClr w14:val="tx1"/>
                  </w14:solidFill>
                </w14:textFill>
              </w:rPr>
              <w:t>1.2</w:t>
            </w:r>
            <w:r>
              <w:rPr>
                <w:rFonts w:hint="eastAsia"/>
                <w:snapToGrid/>
                <w:color w:val="000000" w:themeColor="text1"/>
                <w14:textFill>
                  <w14:solidFill>
                    <w14:schemeClr w14:val="tx1"/>
                  </w14:solidFill>
                </w14:textFill>
              </w:rPr>
              <w:t>∶</w:t>
            </w:r>
            <w:r>
              <w:rPr>
                <w:snapToGrid/>
                <w:color w:val="000000" w:themeColor="text1"/>
                <w14:textFill>
                  <w14:solidFill>
                    <w14:schemeClr w14:val="tx1"/>
                  </w14:solidFill>
                </w14:textFill>
              </w:rPr>
              <w:t>1</w:t>
            </w:r>
            <w:r>
              <w:rPr>
                <w:rFonts w:hint="eastAsia"/>
                <w:snapToGrid/>
                <w:color w:val="000000" w:themeColor="text1"/>
                <w14:textFill>
                  <w14:solidFill>
                    <w14:schemeClr w14:val="tx1"/>
                  </w14:solidFill>
                </w14:textFill>
              </w:rPr>
              <w:t>。省内其他区域遵循重点重金属污染物排放“等量替换”原则。严格重点行业建设项目环境影响评价审批，审慎下放环评审批权限，不得以改革试点为名降低审批要求。</w:t>
            </w:r>
          </w:p>
        </w:tc>
        <w:tc>
          <w:tcPr>
            <w:tcW w:w="1865" w:type="dxa"/>
            <w:vAlign w:val="center"/>
          </w:tcPr>
          <w:p>
            <w:pPr>
              <w:pStyle w:val="36"/>
              <w:jc w:val="both"/>
              <w:rPr>
                <w:snapToGrid/>
                <w:color w:val="000000" w:themeColor="text1"/>
                <w:lang w:val="en-GB"/>
                <w14:textFill>
                  <w14:solidFill>
                    <w14:schemeClr w14:val="tx1"/>
                  </w14:solidFill>
                </w14:textFill>
              </w:rPr>
            </w:pPr>
            <w:r>
              <w:rPr>
                <w:rFonts w:hint="eastAsia"/>
                <w:snapToGrid/>
                <w:color w:val="000000" w:themeColor="text1"/>
                <w:lang w:val="en-GB"/>
                <w14:textFill>
                  <w14:solidFill>
                    <w14:schemeClr w14:val="tx1"/>
                  </w14:solidFill>
                </w14:textFill>
              </w:rPr>
              <w:t>园区目前涉重金属企业近年来并未进行新、改、扩建项目，企业已列入全口径清单，后续实施新、改、扩项目将严格按重点行业准入要求落实重金属替代要求。</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bl>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与《湖南省水污染防治条例》的符合性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2024年11月29日上午，湖南省十四届人大常委会第十三次会议经过表决，通过了《湖南省水污染防治条例》，自2025年5月1日开始施行。园区实际情况与规划内容与《湖南省水污染防治条例》的符合性分析如下：</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《湖南省水污染防治条例》</w:t>
      </w:r>
      <w:r>
        <w:rPr>
          <w:color w:val="000000" w:themeColor="text1"/>
          <w14:textFill>
            <w14:solidFill>
              <w14:schemeClr w14:val="tx1"/>
            </w14:solidFill>
          </w14:textFill>
        </w:rPr>
        <w:t>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1"/>
        <w:gridCol w:w="4534"/>
        <w:gridCol w:w="2530"/>
        <w:gridCol w:w="7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序号</w:t>
            </w:r>
          </w:p>
        </w:tc>
        <w:tc>
          <w:tcPr>
            <w:tcW w:w="453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要求内容</w:t>
            </w:r>
          </w:p>
        </w:tc>
        <w:tc>
          <w:tcPr>
            <w:tcW w:w="2530"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规划情况</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1</w:t>
            </w:r>
          </w:p>
        </w:tc>
        <w:tc>
          <w:tcPr>
            <w:tcW w:w="4534"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禁止在长江湖南段和洞庭湖、湘江、资江、沅江、澧水干流岸线一公里范围内新建、扩建化工园区和化工项目。除以提升安全水平、生态环境保护水平为目的的改建外，禁止在长江湖南段岸线三公里范围内和洞庭湖、湘江、资江、沅江、澧水干流和一级支流岸线一公里范围内新建、改建、扩建尾矿库。</w:t>
            </w:r>
          </w:p>
        </w:tc>
        <w:tc>
          <w:tcPr>
            <w:tcW w:w="2530"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本次规划产业不涉及化工产业，也不涉及尾矿库建设。</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1"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2</w:t>
            </w:r>
          </w:p>
        </w:tc>
        <w:tc>
          <w:tcPr>
            <w:tcW w:w="4534"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产业园区管理机构应当按照要求建立相应的污水收集处理设施，在污水管网重要接驳井、污水处理设施进水口等污水输送关键节点加装智能感知设备，对污水水质实时监测，发现问题应当溯源并督促整改；编制园区生态环境保护年度报告并向社会公开。</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化工园区应当按照分类收集、分质处理的要求，配备专业化工生产废水集中处理设施以及专管或者明管输送的配套管网。</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支持酒类制造、农副食品加工等企业根据国家和省有关规定，将可生化性强的废水作为污水处理厂碳源补充。</w:t>
            </w:r>
          </w:p>
        </w:tc>
        <w:tc>
          <w:tcPr>
            <w:tcW w:w="2530"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园区在污水处理厂进出口安装有在线监测设施；园区不属于化工园区；园区酒厂的废水作为污染处理厂的碳源补充。</w:t>
            </w:r>
          </w:p>
        </w:tc>
        <w:tc>
          <w:tcPr>
            <w:tcW w:w="7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bl>
    <w:p>
      <w:pPr>
        <w:pStyle w:val="32"/>
        <w:rPr>
          <w:color w:val="000000" w:themeColor="text1"/>
          <w14:textFill>
            <w14:solidFill>
              <w14:schemeClr w14:val="tx1"/>
            </w14:solidFill>
          </w14:textFill>
        </w:rPr>
      </w:pPr>
      <w:r>
        <w:rPr>
          <w:color w:val="000000" w:themeColor="text1"/>
          <w14:textFill>
            <w14:solidFill>
              <w14:schemeClr w14:val="tx1"/>
            </w14:solidFill>
          </w14:textFill>
        </w:rPr>
        <w:t>与长江</w:t>
      </w:r>
      <w:r>
        <w:rPr>
          <w:rFonts w:hint="eastAsia"/>
          <w:color w:val="000000" w:themeColor="text1"/>
          <w14:textFill>
            <w14:solidFill>
              <w14:schemeClr w14:val="tx1"/>
            </w14:solidFill>
          </w14:textFill>
        </w:rPr>
        <w:t>保护</w:t>
      </w:r>
      <w:r>
        <w:rPr>
          <w:color w:val="000000" w:themeColor="text1"/>
          <w14:textFill>
            <w14:solidFill>
              <w14:schemeClr w14:val="tx1"/>
            </w14:solidFill>
          </w14:textFill>
        </w:rPr>
        <w:t>相关政策的符合性</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与《中华人民共和国长江保护法》的协调性分析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2020年12月26日，第十三届全国人民代表大会常务委员会第二十四次会议通过了《中华人民共和国长江保护法》，本次扩区规划与其的符合性分析详见下表。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与《中华人民共和国长江保护法》的协调性一览表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56"/>
        <w:gridCol w:w="2997"/>
        <w:gridCol w:w="10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4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文件要求</w:t>
            </w:r>
          </w:p>
        </w:tc>
        <w:tc>
          <w:tcPr>
            <w:tcW w:w="29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实际情况</w:t>
            </w:r>
          </w:p>
        </w:tc>
        <w:tc>
          <w:tcPr>
            <w:tcW w:w="107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是否符合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4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第二十六条：禁止在长江干支流岸线一公里范围内新建、扩建化工园区和化工项目。</w:t>
            </w:r>
            <w:r>
              <w:rPr>
                <w:rFonts w:hint="eastAsia"/>
                <w:color w:val="000000" w:themeColor="text1"/>
                <w14:textFill>
                  <w14:solidFill>
                    <w14:schemeClr w14:val="tx1"/>
                  </w14:solidFill>
                </w14:textFill>
              </w:rPr>
              <w:t>禁止在长江于流岸线三公里范围内和重要支流岸线一公里范围内新建、改建、扩建尾矿库；但是以提升安全、生态环境保护水平为目的的改建除外。</w:t>
            </w:r>
          </w:p>
        </w:tc>
        <w:tc>
          <w:tcPr>
            <w:tcW w:w="29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根据本次扩区方案，开发区不涉及化工园区和化工项目，不涉及尾矿库。</w:t>
            </w:r>
          </w:p>
        </w:tc>
        <w:tc>
          <w:tcPr>
            <w:tcW w:w="107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45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第四十七条：长江流域县级以上地方人民政府应当统筹长江流域城乡污水集中处理设施及配套管网建设，并保障其正常运行，提高城乡污水收集处理能力。在长江流域江河、湖泊新设、改设或者扩大排污口，应当按照国家有关规定报经有管辖权的生态环境主管部门或者长江流域生态环境监督管理机构同意。</w:t>
            </w:r>
          </w:p>
        </w:tc>
        <w:tc>
          <w:tcPr>
            <w:tcW w:w="29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园区目前已完成雨污分流，污水收集处置率100%；</w:t>
            </w:r>
            <w:r>
              <w:rPr>
                <w:rFonts w:hint="eastAsia"/>
                <w:color w:val="000000" w:themeColor="text1"/>
                <w14:textFill>
                  <w14:solidFill>
                    <w14:schemeClr w14:val="tx1"/>
                  </w14:solidFill>
                </w14:textFill>
              </w:rPr>
              <w:t>开发区目前废水由沅陵产业开发区污水处理厂处理，污水处理厂投入了运行，按要求安装进水和出水的在线监控装置。污水处理厂均办理了排污口手续。</w:t>
            </w:r>
          </w:p>
        </w:tc>
        <w:tc>
          <w:tcPr>
            <w:tcW w:w="107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4"/>
        <w:rPr>
          <w:color w:val="000000" w:themeColor="text1"/>
          <w14:textFill>
            <w14:solidFill>
              <w14:schemeClr w14:val="tx1"/>
            </w14:solidFill>
          </w14:textFill>
        </w:rPr>
      </w:pPr>
      <w:r>
        <w:rPr>
          <w:color w:val="000000" w:themeColor="text1"/>
          <w14:textFill>
            <w14:solidFill>
              <w14:schemeClr w14:val="tx1"/>
            </w14:solidFill>
          </w14:textFill>
        </w:rPr>
        <w:t>与《长江经济带发展负面清单指南（试行</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022</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）》协调性分析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2022年1月19日，</w:t>
      </w:r>
      <w:r>
        <w:rPr>
          <w:rFonts w:hint="eastAsia"/>
          <w:color w:val="000000" w:themeColor="text1"/>
          <w14:textFill>
            <w14:solidFill>
              <w14:schemeClr w14:val="tx1"/>
            </w14:solidFill>
          </w14:textFill>
        </w:rPr>
        <w:t>推动</w:t>
      </w:r>
      <w:r>
        <w:rPr>
          <w:color w:val="000000" w:themeColor="text1"/>
          <w14:textFill>
            <w14:solidFill>
              <w14:schemeClr w14:val="tx1"/>
            </w14:solidFill>
          </w14:textFill>
        </w:rPr>
        <w:t>长江经济带发展领导小组办公室印发了《关于</w:t>
      </w:r>
      <w:r>
        <w:rPr>
          <w:rFonts w:hint="eastAsia"/>
          <w:color w:val="000000" w:themeColor="text1"/>
          <w14:textFill>
            <w14:solidFill>
              <w14:schemeClr w14:val="tx1"/>
            </w14:solidFill>
          </w14:textFill>
        </w:rPr>
        <w:t>印发</w:t>
      </w:r>
      <w:r>
        <w:rPr>
          <w:color w:val="000000" w:themeColor="text1"/>
          <w14:textFill>
            <w14:solidFill>
              <w14:schemeClr w14:val="tx1"/>
            </w14:solidFill>
          </w14:textFill>
        </w:rPr>
        <w:t>长江经济带发展负面清单指南（试行</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022</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）的通知》</w:t>
      </w:r>
      <w:r>
        <w:rPr>
          <w:rFonts w:hint="eastAsia"/>
          <w:color w:val="000000" w:themeColor="text1"/>
          <w14:textFill>
            <w14:solidFill>
              <w14:schemeClr w14:val="tx1"/>
            </w14:solidFill>
          </w14:textFill>
        </w:rPr>
        <w:t>（长江办〔2</w:t>
      </w:r>
      <w:r>
        <w:rPr>
          <w:color w:val="000000" w:themeColor="text1"/>
          <w14:textFill>
            <w14:solidFill>
              <w14:schemeClr w14:val="tx1"/>
            </w14:solidFill>
          </w14:textFill>
        </w:rPr>
        <w:t>022</w:t>
      </w:r>
      <w:r>
        <w:rPr>
          <w:rFonts w:hint="eastAsia"/>
          <w:color w:val="000000" w:themeColor="text1"/>
          <w14:textFill>
            <w14:solidFill>
              <w14:schemeClr w14:val="tx1"/>
            </w14:solidFill>
          </w14:textFill>
        </w:rPr>
        <w:t>〕7号）</w:t>
      </w:r>
      <w:r>
        <w:rPr>
          <w:color w:val="000000" w:themeColor="text1"/>
          <w14:textFill>
            <w14:solidFill>
              <w14:schemeClr w14:val="tx1"/>
            </w14:solidFill>
          </w14:textFill>
        </w:rPr>
        <w:t>。本规划与其协调性分析如下表所示。</w:t>
      </w:r>
    </w:p>
    <w:p>
      <w:pPr>
        <w:pStyle w:val="52"/>
        <w:rPr>
          <w:color w:val="000000" w:themeColor="text1"/>
          <w14:textFill>
            <w14:solidFill>
              <w14:schemeClr w14:val="tx1"/>
            </w14:solidFill>
          </w14:textFill>
        </w:rPr>
      </w:pPr>
      <w:bookmarkStart w:id="15" w:name="_Hlk165907959"/>
      <w:r>
        <w:rPr>
          <w:color w:val="000000" w:themeColor="text1"/>
          <w14:textFill>
            <w14:solidFill>
              <w14:schemeClr w14:val="tx1"/>
            </w14:solidFill>
          </w14:textFill>
        </w:rPr>
        <w:t>与长江经济带发展负面清单</w:t>
      </w:r>
      <w:r>
        <w:rPr>
          <w:rFonts w:hint="eastAsia"/>
          <w:color w:val="000000" w:themeColor="text1"/>
          <w14:textFill>
            <w14:solidFill>
              <w14:schemeClr w14:val="tx1"/>
            </w14:solidFill>
          </w14:textFill>
        </w:rPr>
        <w:t>指南</w:t>
      </w:r>
      <w:r>
        <w:rPr>
          <w:color w:val="000000" w:themeColor="text1"/>
          <w14:textFill>
            <w14:solidFill>
              <w14:schemeClr w14:val="tx1"/>
            </w14:solidFill>
          </w14:textFill>
        </w:rPr>
        <w:t>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4667"/>
        <w:gridCol w:w="2398"/>
        <w:gridCol w:w="79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序号</w:t>
            </w:r>
          </w:p>
        </w:tc>
        <w:tc>
          <w:tcPr>
            <w:tcW w:w="4667"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要求内容</w:t>
            </w:r>
          </w:p>
        </w:tc>
        <w:tc>
          <w:tcPr>
            <w:tcW w:w="2398"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规划情况</w:t>
            </w:r>
          </w:p>
        </w:tc>
        <w:tc>
          <w:tcPr>
            <w:tcW w:w="796"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1</w:t>
            </w:r>
          </w:p>
        </w:tc>
        <w:tc>
          <w:tcPr>
            <w:tcW w:w="4667"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禁止建设不符合全国和省级港口布局规划以及港口总体规划的码头项目，禁止建设不符合《长江干线过江通道布局规划》的过长江通道项目。</w:t>
            </w:r>
          </w:p>
        </w:tc>
        <w:tc>
          <w:tcPr>
            <w:tcW w:w="2398" w:type="dxa"/>
            <w:vAlign w:val="center"/>
          </w:tcPr>
          <w:p>
            <w:pPr>
              <w:pStyle w:val="36"/>
              <w:rPr>
                <w:snapToGrid/>
                <w:color w:val="000000" w:themeColor="text1"/>
                <w14:textFill>
                  <w14:solidFill>
                    <w14:schemeClr w14:val="tx1"/>
                  </w14:solidFill>
                </w14:textFill>
              </w:rPr>
            </w:pPr>
            <w:r>
              <w:rPr>
                <w:rFonts w:hint="eastAsia"/>
                <w:color w:val="000000" w:themeColor="text1"/>
                <w14:textFill>
                  <w14:solidFill>
                    <w14:schemeClr w14:val="tx1"/>
                  </w14:solidFill>
                </w14:textFill>
              </w:rPr>
              <w:t>本轮</w:t>
            </w:r>
            <w:r>
              <w:rPr>
                <w:color w:val="000000" w:themeColor="text1"/>
                <w14:textFill>
                  <w14:solidFill>
                    <w14:schemeClr w14:val="tx1"/>
                  </w14:solidFill>
                </w14:textFill>
              </w:rPr>
              <w:t>规划方案不涉及码头建设。</w:t>
            </w:r>
          </w:p>
        </w:tc>
        <w:tc>
          <w:tcPr>
            <w:tcW w:w="796"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2</w:t>
            </w:r>
          </w:p>
        </w:tc>
        <w:tc>
          <w:tcPr>
            <w:tcW w:w="4667"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禁止在自然保护区核心区、缓冲区的岸线和河段范围内投资建设旅游和生产经营项目。禁止在风景名胜区核心景区的岸线和河段范围内投资建设与风景名胜区保护无关的项目。</w:t>
            </w:r>
          </w:p>
        </w:tc>
        <w:tc>
          <w:tcPr>
            <w:tcW w:w="23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园区规划范围不涉及自然保护区、风景名胜区。</w:t>
            </w:r>
          </w:p>
        </w:tc>
        <w:tc>
          <w:tcPr>
            <w:tcW w:w="796"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3</w:t>
            </w:r>
          </w:p>
        </w:tc>
        <w:tc>
          <w:tcPr>
            <w:tcW w:w="4667"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禁止在饮用水水源一级保护区内新建、改建、扩建与供水设施和保护水源无关的建设项目，以及网箱养殖、</w:t>
            </w:r>
            <w:r>
              <w:rPr>
                <w:rFonts w:hint="eastAsia"/>
                <w:snapToGrid/>
                <w:color w:val="000000" w:themeColor="text1"/>
                <w14:textFill>
                  <w14:solidFill>
                    <w14:schemeClr w14:val="tx1"/>
                  </w14:solidFill>
                </w14:textFill>
              </w:rPr>
              <w:t>畜禽养殖、</w:t>
            </w:r>
            <w:r>
              <w:rPr>
                <w:snapToGrid/>
                <w:color w:val="000000" w:themeColor="text1"/>
                <w14:textFill>
                  <w14:solidFill>
                    <w14:schemeClr w14:val="tx1"/>
                  </w14:solidFill>
                </w14:textFill>
              </w:rPr>
              <w:t>旅游等可能污染饮用水水体的投资建设项目；禁止在饮用水水源二级保护区的岸线和河段范围内新建、改建、扩建排放污染物的投资建设项目。</w:t>
            </w:r>
          </w:p>
        </w:tc>
        <w:tc>
          <w:tcPr>
            <w:tcW w:w="23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园区规划范围不涉及饮用水源保护区。</w:t>
            </w:r>
          </w:p>
        </w:tc>
        <w:tc>
          <w:tcPr>
            <w:tcW w:w="796"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4</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23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园区规划范围不涉及水产种质资源保护区；不涉及围湖造田。</w:t>
            </w:r>
          </w:p>
        </w:tc>
        <w:tc>
          <w:tcPr>
            <w:tcW w:w="796"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5</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23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本规划不涉及《长江岸线保护和开发利用总体规划》划定的岸线保护区和保留区范围。</w:t>
            </w:r>
          </w:p>
        </w:tc>
        <w:tc>
          <w:tcPr>
            <w:tcW w:w="796"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6</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禁止未经许可在长江干支流及湖泊新设、改设或扩大排污口。</w:t>
            </w:r>
          </w:p>
        </w:tc>
        <w:tc>
          <w:tcPr>
            <w:tcW w:w="2398" w:type="dxa"/>
            <w:vAlign w:val="center"/>
          </w:tcPr>
          <w:p>
            <w:pPr>
              <w:pStyle w:val="36"/>
              <w:jc w:val="both"/>
              <w:rPr>
                <w:snapToGrid/>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开发区目前废水由沅陵产业开发区污水处理厂处理，污水处理厂办理了排污口手续。</w:t>
            </w:r>
          </w:p>
        </w:tc>
        <w:tc>
          <w:tcPr>
            <w:tcW w:w="796"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7</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禁止在“一江一口两湖七河”和332个水生生物保护区开展生产性捕捞。</w:t>
            </w:r>
          </w:p>
        </w:tc>
        <w:tc>
          <w:tcPr>
            <w:tcW w:w="23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不涉及</w:t>
            </w:r>
          </w:p>
        </w:tc>
        <w:tc>
          <w:tcPr>
            <w:tcW w:w="796"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8</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23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园区不涉及化工园区和化工项目，不涉及尾矿库、冶炼渣库和磷石膏库。</w:t>
            </w:r>
          </w:p>
        </w:tc>
        <w:tc>
          <w:tcPr>
            <w:tcW w:w="796" w:type="dxa"/>
            <w:vMerge w:val="restart"/>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9</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禁止在合规园区外新建、扩建钢铁、石化、化工、焦化、建材、有色、制浆造纸等高污染项目。</w:t>
            </w:r>
          </w:p>
        </w:tc>
        <w:tc>
          <w:tcPr>
            <w:tcW w:w="23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园区内现有企业涉及有色产业。</w:t>
            </w:r>
          </w:p>
        </w:tc>
        <w:tc>
          <w:tcPr>
            <w:tcW w:w="796" w:type="dxa"/>
            <w:vMerge w:val="continue"/>
            <w:vAlign w:val="center"/>
          </w:tcPr>
          <w:p>
            <w:pPr>
              <w:pStyle w:val="36"/>
              <w:rPr>
                <w:snapToGrid/>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0</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禁止新建、扩建不符合国家石化、现代煤化工等产业布局规划的项目。</w:t>
            </w:r>
          </w:p>
        </w:tc>
        <w:tc>
          <w:tcPr>
            <w:tcW w:w="23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园区不涉及该类型项目。</w:t>
            </w:r>
          </w:p>
        </w:tc>
        <w:tc>
          <w:tcPr>
            <w:tcW w:w="796"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1</w:t>
            </w:r>
          </w:p>
        </w:tc>
        <w:tc>
          <w:tcPr>
            <w:tcW w:w="4667"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禁止新建、扩建法律法规和相关政策明令禁止的落后产能项目。禁止新建、扩建不符合国家产能置换要求的严重过剩产能行业的项目。禁止新建、扩建不符合要求的高耗能高排放项目。</w:t>
            </w:r>
          </w:p>
        </w:tc>
        <w:tc>
          <w:tcPr>
            <w:tcW w:w="23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园区管委会已建立对入园项目预审制度及园区负面清单等相关环保制度，对于不符合国家产能置换要求的严重过剩产能行业的项目一律不准入园。</w:t>
            </w:r>
          </w:p>
        </w:tc>
        <w:tc>
          <w:tcPr>
            <w:tcW w:w="796"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bookmarkEnd w:id="15"/>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的开发建设符合《长江经济带发展负面清单指南（试行</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022</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）》提出的相关要求。</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与《湖南省长江经济带负面发展清单实施细则（试行</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022</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）》协调性分析</w:t>
      </w:r>
    </w:p>
    <w:p>
      <w:pPr>
        <w:pStyle w:val="51"/>
        <w:ind w:firstLine="480"/>
        <w:rPr>
          <w:snapToGrid/>
          <w:color w:val="000000" w:themeColor="text1"/>
          <w14:textFill>
            <w14:solidFill>
              <w14:schemeClr w14:val="tx1"/>
            </w14:solidFill>
          </w14:textFill>
        </w:rPr>
      </w:pPr>
      <w:r>
        <w:rPr>
          <w:snapToGrid/>
          <w:color w:val="000000" w:themeColor="text1"/>
          <w14:textFill>
            <w14:solidFill>
              <w14:schemeClr w14:val="tx1"/>
            </w14:solidFill>
          </w14:textFill>
        </w:rPr>
        <w:t>根据国家长江办印发的《长江经济带发展负面清单指南（试行</w:t>
      </w:r>
      <w:r>
        <w:rPr>
          <w:rFonts w:hint="eastAsia"/>
          <w:snapToGrid/>
          <w:color w:val="000000" w:themeColor="text1"/>
          <w14:textFill>
            <w14:solidFill>
              <w14:schemeClr w14:val="tx1"/>
            </w14:solidFill>
          </w14:textFill>
        </w:rPr>
        <w:t>，2</w:t>
      </w:r>
      <w:r>
        <w:rPr>
          <w:snapToGrid/>
          <w:color w:val="000000" w:themeColor="text1"/>
          <w14:textFill>
            <w14:solidFill>
              <w14:schemeClr w14:val="tx1"/>
            </w14:solidFill>
          </w14:textFill>
        </w:rPr>
        <w:t>022</w:t>
      </w:r>
      <w:r>
        <w:rPr>
          <w:rFonts w:hint="eastAsia"/>
          <w:snapToGrid/>
          <w:color w:val="000000" w:themeColor="text1"/>
          <w14:textFill>
            <w14:solidFill>
              <w14:schemeClr w14:val="tx1"/>
            </w14:solidFill>
          </w14:textFill>
        </w:rPr>
        <w:t>年版</w:t>
      </w:r>
      <w:r>
        <w:rPr>
          <w:snapToGrid/>
          <w:color w:val="000000" w:themeColor="text1"/>
          <w14:textFill>
            <w14:solidFill>
              <w14:schemeClr w14:val="tx1"/>
            </w14:solidFill>
          </w14:textFill>
        </w:rPr>
        <w:t>）》和相关法律法规，湖南省结合实际，制定了《湖南省长江经济带发展负面清单实施细则（试行</w:t>
      </w:r>
      <w:r>
        <w:rPr>
          <w:rFonts w:hint="eastAsia"/>
          <w:snapToGrid/>
          <w:color w:val="000000" w:themeColor="text1"/>
          <w14:textFill>
            <w14:solidFill>
              <w14:schemeClr w14:val="tx1"/>
            </w14:solidFill>
          </w14:textFill>
        </w:rPr>
        <w:t>，2</w:t>
      </w:r>
      <w:r>
        <w:rPr>
          <w:snapToGrid/>
          <w:color w:val="000000" w:themeColor="text1"/>
          <w14:textFill>
            <w14:solidFill>
              <w14:schemeClr w14:val="tx1"/>
            </w14:solidFill>
          </w14:textFill>
        </w:rPr>
        <w:t>022</w:t>
      </w:r>
      <w:r>
        <w:rPr>
          <w:rFonts w:hint="eastAsia"/>
          <w:snapToGrid/>
          <w:color w:val="000000" w:themeColor="text1"/>
          <w14:textFill>
            <w14:solidFill>
              <w14:schemeClr w14:val="tx1"/>
            </w14:solidFill>
          </w14:textFill>
        </w:rPr>
        <w:t>年版</w:t>
      </w:r>
      <w:r>
        <w:rPr>
          <w:snapToGrid/>
          <w:color w:val="000000" w:themeColor="text1"/>
          <w14:textFill>
            <w14:solidFill>
              <w14:schemeClr w14:val="tx1"/>
            </w14:solidFill>
          </w14:textFill>
        </w:rPr>
        <w:t>）》，该细则涉及岸线、河段、区域和产业四个方面。</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与《湖南省长江经济带负面发展清单实施细则（试行）》的符合性分析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5199"/>
        <w:gridCol w:w="1998"/>
        <w:gridCol w:w="6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序号</w:t>
            </w:r>
          </w:p>
        </w:tc>
        <w:tc>
          <w:tcPr>
            <w:tcW w:w="5199"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要求内容</w:t>
            </w:r>
          </w:p>
        </w:tc>
        <w:tc>
          <w:tcPr>
            <w:tcW w:w="1998" w:type="dxa"/>
            <w:vAlign w:val="center"/>
          </w:tcPr>
          <w:p>
            <w:pPr>
              <w:pStyle w:val="36"/>
              <w:rPr>
                <w:snapToGrid/>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情况</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1</w:t>
            </w:r>
          </w:p>
        </w:tc>
        <w:tc>
          <w:tcPr>
            <w:tcW w:w="5199"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w:t>
            </w:r>
            <w:r>
              <w:rPr>
                <w:rFonts w:hint="eastAsia"/>
                <w:color w:val="000000" w:themeColor="text1"/>
                <w14:textFill>
                  <w14:solidFill>
                    <w14:schemeClr w14:val="tx1"/>
                  </w14:solidFill>
                </w14:textFill>
              </w:rPr>
              <w:t>国省</w:t>
            </w:r>
            <w:r>
              <w:rPr>
                <w:color w:val="000000" w:themeColor="text1"/>
                <w14:textFill>
                  <w14:solidFill>
                    <w14:schemeClr w14:val="tx1"/>
                  </w14:solidFill>
                </w14:textFill>
              </w:rPr>
              <w:t>港口岸线使用的管理规定办理港口岸线使用手续。未取得岸线使用批准文件或者岸线使用意见的，不得开工建设。禁止建设不符合《长江干线过江通道布局规划</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020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2035</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》的过长江通道项目。</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规划内容不涉及码头、港口、过长江通道项目等。</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2</w:t>
            </w:r>
          </w:p>
        </w:tc>
        <w:tc>
          <w:tcPr>
            <w:tcW w:w="5199"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禁止在自然保护区核心区、缓冲区的岸线和河段范围内投资建设以下</w:t>
            </w:r>
            <w:r>
              <w:rPr>
                <w:rFonts w:hint="eastAsia"/>
                <w:snapToGrid/>
                <w:color w:val="000000" w:themeColor="text1"/>
                <w14:textFill>
                  <w14:solidFill>
                    <w14:schemeClr w14:val="tx1"/>
                  </w14:solidFill>
                </w14:textFill>
              </w:rPr>
              <w:t>旅游和生产经营项目</w:t>
            </w:r>
            <w:r>
              <w:rPr>
                <w:snapToGrid/>
                <w:color w:val="000000" w:themeColor="text1"/>
                <w14:textFill>
                  <w14:solidFill>
                    <w14:schemeClr w14:val="tx1"/>
                  </w14:solidFill>
                </w14:textFill>
              </w:rPr>
              <w:t>：……</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园区规划范围不涉及自然保护区。</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3</w:t>
            </w:r>
          </w:p>
        </w:tc>
        <w:tc>
          <w:tcPr>
            <w:tcW w:w="5199"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规划的交通线路不涉及自然保护区、野生</w:t>
            </w:r>
            <w:r>
              <w:rPr>
                <w:rFonts w:hint="eastAsia"/>
                <w:snapToGrid/>
                <w:color w:val="000000" w:themeColor="text1"/>
                <w14:textFill>
                  <w14:solidFill>
                    <w14:schemeClr w14:val="tx1"/>
                  </w14:solidFill>
                </w14:textFill>
              </w:rPr>
              <w:t>动物</w:t>
            </w:r>
            <w:r>
              <w:rPr>
                <w:snapToGrid/>
                <w:color w:val="000000" w:themeColor="text1"/>
                <w14:textFill>
                  <w14:solidFill>
                    <w14:schemeClr w14:val="tx1"/>
                  </w14:solidFill>
                </w14:textFill>
              </w:rPr>
              <w:t>迁徙洄游通道。</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4</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园区规划范围不涉及国家级风景名胜区。</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5</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998" w:type="dxa"/>
            <w:vMerge w:val="restart"/>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园区规划范围不涉及饮用水水源保护区。</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6</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饮用水水源二级保护区内禁止新建、改建、扩建向水体排放污染物的投资建设项目。原有排污口依法拆除或关闭。禁止设立装卸垃圾、粪便、油类和有毒物品的码头。</w:t>
            </w:r>
          </w:p>
        </w:tc>
        <w:tc>
          <w:tcPr>
            <w:tcW w:w="1998" w:type="dxa"/>
            <w:vMerge w:val="continue"/>
            <w:vAlign w:val="center"/>
          </w:tcPr>
          <w:p>
            <w:pPr>
              <w:pStyle w:val="36"/>
              <w:jc w:val="both"/>
              <w:rPr>
                <w:snapToGrid/>
                <w:color w:val="000000" w:themeColor="text1"/>
                <w14:textFill>
                  <w14:solidFill>
                    <w14:schemeClr w14:val="tx1"/>
                  </w14:solidFill>
                </w14:textFill>
              </w:rPr>
            </w:pP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7</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禁止在水产种质资源保护区的岸线和河段范围内新建排污口、实施非法围垦河道和围湖造田造地等投资建设项目。</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园区规划范围不涉及水产种质资源保护区。</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8</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除《中华人民共和国防洪法》规定的紧急防汛期采取的紧急措施外，禁止在国家湿地公园的岸线和河段范围内挖沙、采矿，以及以下不符合主体功能定位的行为和活动：</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（一）开（围）垦、填埋或者排干湿地。</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（二）截断湿地水源。</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（三）倾倒有毒有害物质、废弃物、垃圾。</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（四）从事房地产、度假村、高尔夫球场、风力发电、光伏发电等任何不符合主体功能定位的建设项目和开发活动。</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（五）破坏野生动物栖息地和迁徙通道、鱼类洄游通道，滥采滥捕野生动植物。</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（六）引入外来物种。</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（七）擅自放牧、捕捞、取土、取水、排污、放生。</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（八）其他破坏湿地及其生态功能的活动。</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w:t>
            </w:r>
            <w:r>
              <w:rPr>
                <w:rFonts w:hint="eastAsia"/>
                <w:snapToGrid/>
                <w:color w:val="000000" w:themeColor="text1"/>
                <w14:textFill>
                  <w14:solidFill>
                    <w14:schemeClr w14:val="tx1"/>
                  </w14:solidFill>
                </w14:textFill>
              </w:rPr>
              <w:t>不涉及国家湿地公园。</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9</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禁止填湖造地、围湖造田及非法围垦河道，禁止非法建设矮围围网、填埋湿地等侵占河湖水域或者违法利用、占用河湖岸线的行为。</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园区规划范围不涉及《长江岸线保护和开发利用总体规划》划定的岸线保护区。</w:t>
            </w:r>
          </w:p>
        </w:tc>
        <w:tc>
          <w:tcPr>
            <w:tcW w:w="664" w:type="dxa"/>
            <w:vAlign w:val="center"/>
          </w:tcPr>
          <w:p>
            <w:pPr>
              <w:pStyle w:val="36"/>
              <w:rPr>
                <w:snapToGrid/>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10</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禁止在《全国重要江河湖泊水功能区划》划定的河段及湖泊保护区、保留区内投资建设不利于水资源及自然生态保护的项目。</w:t>
            </w:r>
          </w:p>
        </w:tc>
        <w:tc>
          <w:tcPr>
            <w:tcW w:w="1998" w:type="dxa"/>
            <w:vAlign w:val="center"/>
          </w:tcPr>
          <w:p>
            <w:pPr>
              <w:pStyle w:val="36"/>
              <w:jc w:val="both"/>
              <w:rPr>
                <w:snapToGrid/>
                <w:color w:val="000000" w:themeColor="text1"/>
                <w14:textFill>
                  <w14:solidFill>
                    <w14:schemeClr w14:val="tx1"/>
                  </w14:solidFill>
                </w14:textFill>
              </w:rPr>
            </w:pPr>
            <w:r>
              <w:rPr>
                <w:snapToGrid/>
                <w:color w:val="000000" w:themeColor="text1"/>
                <w14:textFill>
                  <w14:solidFill>
                    <w14:schemeClr w14:val="tx1"/>
                  </w14:solidFill>
                </w14:textFill>
              </w:rPr>
              <w:t>园区规划范围不涉及全国重要江河湖泊</w:t>
            </w:r>
            <w:r>
              <w:rPr>
                <w:rFonts w:hint="eastAsia"/>
                <w:snapToGrid/>
                <w:color w:val="000000" w:themeColor="text1"/>
                <w14:textFill>
                  <w14:solidFill>
                    <w14:schemeClr w14:val="tx1"/>
                  </w14:solidFill>
                </w14:textFill>
              </w:rPr>
              <w:t>。</w:t>
            </w:r>
          </w:p>
        </w:tc>
        <w:tc>
          <w:tcPr>
            <w:tcW w:w="664" w:type="dxa"/>
            <w:vAlign w:val="center"/>
          </w:tcPr>
          <w:p>
            <w:pPr>
              <w:pStyle w:val="36"/>
              <w:rPr>
                <w:snapToGrid/>
                <w:color w:val="000000" w:themeColor="text1"/>
                <w14:textFill>
                  <w14:solidFill>
                    <w14:schemeClr w14:val="tx1"/>
                  </w14:solidFill>
                </w14:textFill>
              </w:rPr>
            </w:pPr>
            <w:r>
              <w:rPr>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1</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禁止未经许可在长江干支流及湖泊新设、改设或扩大排污口。</w:t>
            </w:r>
          </w:p>
        </w:tc>
        <w:tc>
          <w:tcPr>
            <w:tcW w:w="1998" w:type="dxa"/>
            <w:vAlign w:val="center"/>
          </w:tcPr>
          <w:p>
            <w:pPr>
              <w:pStyle w:val="36"/>
              <w:jc w:val="both"/>
              <w:rPr>
                <w:snapToGrid/>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开发区目前废水由沅陵产业开发区污水处理厂处理，污水处理厂办理了排污口手续。</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2</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9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园区不涉及该类行业的项目。</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3</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禁止在合规园区外新建、扩建钢铁、石化、化工、焦化、建材、有色、制浆造纸等高污染项目。高污染项目严格按照生态环境部《环境保护综合名录（2021年版）》有关要求执行。</w:t>
            </w:r>
          </w:p>
        </w:tc>
        <w:tc>
          <w:tcPr>
            <w:tcW w:w="19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园区不涉及该类行业的项目。</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4</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禁止新建、扩建不符合国家石化、现代煤化工等产业布局规划的项目。未通过认定的化工园区，不得新建、改扩建化工项目（安全、环保、节能和智能化改造项目除外）。</w:t>
            </w:r>
          </w:p>
        </w:tc>
        <w:tc>
          <w:tcPr>
            <w:tcW w:w="19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园区不涉及该类行业的项目。</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2"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w:t>
            </w:r>
            <w:r>
              <w:rPr>
                <w:snapToGrid/>
                <w:color w:val="000000" w:themeColor="text1"/>
                <w14:textFill>
                  <w14:solidFill>
                    <w14:schemeClr w14:val="tx1"/>
                  </w14:solidFill>
                </w14:textFill>
              </w:rPr>
              <w:t>5</w:t>
            </w:r>
          </w:p>
        </w:tc>
        <w:tc>
          <w:tcPr>
            <w:tcW w:w="5199"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998" w:type="dxa"/>
            <w:vAlign w:val="center"/>
          </w:tcPr>
          <w:p>
            <w:pPr>
              <w:pStyle w:val="36"/>
              <w:jc w:val="both"/>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园区管委会已建立对入园项目预审制度及园区负面清单等相关环保制度，对于相关法律法规和政策明令禁止的落后产能项目一律不准入园。开发区不涉及钢铁、水泥、电解铝、平板玻璃、船舶等行业。</w:t>
            </w:r>
          </w:p>
        </w:tc>
        <w:tc>
          <w:tcPr>
            <w:tcW w:w="664" w:type="dxa"/>
            <w:vAlign w:val="center"/>
          </w:tcPr>
          <w:p>
            <w:pPr>
              <w:pStyle w:val="36"/>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符合</w:t>
            </w:r>
          </w:p>
        </w:tc>
      </w:tr>
    </w:tbl>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开发区的建设</w:t>
      </w:r>
      <w:r>
        <w:rPr>
          <w:snapToGrid/>
          <w:color w:val="000000" w:themeColor="text1"/>
          <w14:textFill>
            <w14:solidFill>
              <w14:schemeClr w14:val="tx1"/>
            </w14:solidFill>
          </w14:textFill>
        </w:rPr>
        <w:t>符合《湖南省长江经济带负面发展清单实施细则（试行</w:t>
      </w:r>
      <w:r>
        <w:rPr>
          <w:rFonts w:hint="eastAsia"/>
          <w:snapToGrid/>
          <w:color w:val="000000" w:themeColor="text1"/>
          <w14:textFill>
            <w14:solidFill>
              <w14:schemeClr w14:val="tx1"/>
            </w14:solidFill>
          </w14:textFill>
        </w:rPr>
        <w:t>，2</w:t>
      </w:r>
      <w:r>
        <w:rPr>
          <w:snapToGrid/>
          <w:color w:val="000000" w:themeColor="text1"/>
          <w14:textFill>
            <w14:solidFill>
              <w14:schemeClr w14:val="tx1"/>
            </w14:solidFill>
          </w14:textFill>
        </w:rPr>
        <w:t>022</w:t>
      </w:r>
      <w:r>
        <w:rPr>
          <w:rFonts w:hint="eastAsia"/>
          <w:snapToGrid/>
          <w:color w:val="000000" w:themeColor="text1"/>
          <w14:textFill>
            <w14:solidFill>
              <w14:schemeClr w14:val="tx1"/>
            </w14:solidFill>
          </w14:textFill>
        </w:rPr>
        <w:t>年版</w:t>
      </w:r>
      <w:r>
        <w:rPr>
          <w:snapToGrid/>
          <w:color w:val="000000" w:themeColor="text1"/>
          <w14:textFill>
            <w14:solidFill>
              <w14:schemeClr w14:val="tx1"/>
            </w14:solidFill>
          </w14:textFill>
        </w:rPr>
        <w:t>）》提出的相关要求。</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与《长江经济带生态环境保护规划》协调性分析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为落实党中央、国务院关于推动长江经济带发展的重大决策部署，</w:t>
      </w:r>
      <w:r>
        <w:rPr>
          <w:rFonts w:hint="eastAsia"/>
          <w:color w:val="000000" w:themeColor="text1"/>
          <w14:textFill>
            <w14:solidFill>
              <w14:schemeClr w14:val="tx1"/>
            </w14:solidFill>
          </w14:textFill>
        </w:rPr>
        <w:t>生态环境部</w:t>
      </w:r>
      <w:r>
        <w:rPr>
          <w:color w:val="000000" w:themeColor="text1"/>
          <w14:textFill>
            <w14:solidFill>
              <w14:schemeClr w14:val="tx1"/>
            </w14:solidFill>
          </w14:textFill>
        </w:rPr>
        <w:t>、发展改革委、水利部会同有关部门编制了《长江经济带生态环境保护规划》。</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与其要求的符合性分析详见下表。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与《长江经济带生态环境保护规划》的符合性分析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0"/>
        <w:gridCol w:w="4244"/>
        <w:gridCol w:w="2693"/>
        <w:gridCol w:w="92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424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文件要求</w:t>
            </w:r>
          </w:p>
        </w:tc>
        <w:tc>
          <w:tcPr>
            <w:tcW w:w="269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情况</w:t>
            </w:r>
          </w:p>
        </w:tc>
        <w:tc>
          <w:tcPr>
            <w:tcW w:w="9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4244"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……2017年底前，省级及以上工业集聚区应按规定建成污水集中处理设施，安装在线监控装置并与环保部在线监控平台联网……</w:t>
            </w:r>
          </w:p>
        </w:tc>
        <w:tc>
          <w:tcPr>
            <w:tcW w:w="269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开发区目前废水由沅陵产业开发区污水处理厂处理，污水处理厂投入了运行，按要求安装进水和出水的在线监控装置。污水处理厂均办理了排污口手续。</w:t>
            </w:r>
          </w:p>
        </w:tc>
        <w:tc>
          <w:tcPr>
            <w:tcW w:w="9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w:t>
            </w:r>
          </w:p>
        </w:tc>
        <w:tc>
          <w:tcPr>
            <w:tcW w:w="4244"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实施城市空气质量达标计划。全面推进长江经济带126个地级及以上城市空气质量限期达标工作，已达标城市空气质量进一步巩固，未达标城市要制定并实施分阶段达标计划。……地级及以上城市建成区基本淘汰10蒸吨以下燃煤锅炉，完成35蒸吨及以上燃煤锅炉脱硫脱硝除尘改造、钢铁行业烧结机脱硫改造、水泥行业脱硝改造、平板玻璃天然气燃料替代及脱硝改造。实施燃煤电厂超低排放改造工程和清洁柴油机行动计划。</w:t>
            </w:r>
          </w:p>
        </w:tc>
        <w:tc>
          <w:tcPr>
            <w:tcW w:w="269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开发区属于环境空气质量达标区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根据开发区产业布局的要求，开发区不会建设燃煤锅炉，不会引进钢铁、水泥、平板玻璃工业的企业。</w:t>
            </w:r>
          </w:p>
        </w:tc>
        <w:tc>
          <w:tcPr>
            <w:tcW w:w="9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6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w:t>
            </w:r>
          </w:p>
        </w:tc>
        <w:tc>
          <w:tcPr>
            <w:tcW w:w="4244"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实行负面清单管理。长江沿线一切经济活动都要以不破坏生态环境为前提，抓紧制定产业准入负面清单，明确空间准入和环境准入的清单式管理要求。除在建项目外，严禁在干流及主要支流岸线1公里范围内布局新建重化工园区，严控在中上游沿岸地区新建石油化工和煤化工项目。严控下游高污染、高排放企业向上游转移。</w:t>
            </w:r>
          </w:p>
        </w:tc>
        <w:tc>
          <w:tcPr>
            <w:tcW w:w="2693"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本次规划环评提出了</w:t>
            </w:r>
            <w:r>
              <w:rPr>
                <w:rFonts w:hint="eastAsia"/>
                <w:color w:val="000000" w:themeColor="text1"/>
                <w14:textFill>
                  <w14:solidFill>
                    <w14:schemeClr w14:val="tx1"/>
                  </w14:solidFill>
                </w14:textFill>
              </w:rPr>
              <w:t>准入</w:t>
            </w:r>
            <w:r>
              <w:rPr>
                <w:color w:val="000000" w:themeColor="text1"/>
                <w14:textFill>
                  <w14:solidFill>
                    <w14:schemeClr w14:val="tx1"/>
                  </w14:solidFill>
                </w14:textFill>
              </w:rPr>
              <w:t>清单；煤化工、石油化工</w:t>
            </w:r>
            <w:r>
              <w:rPr>
                <w:rFonts w:hint="eastAsia"/>
                <w:color w:val="000000" w:themeColor="text1"/>
                <w14:textFill>
                  <w14:solidFill>
                    <w14:schemeClr w14:val="tx1"/>
                  </w14:solidFill>
                </w14:textFill>
              </w:rPr>
              <w:t>不属于园区的主导产业；根据规划，长江干流和支流岸线1公里范围内不涉及化工园区和化工项目建设。</w:t>
            </w:r>
          </w:p>
        </w:tc>
        <w:tc>
          <w:tcPr>
            <w:tcW w:w="9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开发区的建设</w:t>
      </w:r>
      <w:r>
        <w:rPr>
          <w:color w:val="000000" w:themeColor="text1"/>
          <w14:textFill>
            <w14:solidFill>
              <w14:schemeClr w14:val="tx1"/>
            </w14:solidFill>
          </w14:textFill>
        </w:rPr>
        <w:t>符合《长江经济带生态环境保护规划》提出的相关要求。</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与《长江保护修复攻坚战行动计划》协调性分析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为深入贯彻全国生态环境保护大会精神，打好长江保护修复攻坚战，生态环境部、</w:t>
      </w:r>
      <w:r>
        <w:rPr>
          <w:rFonts w:hint="eastAsia"/>
          <w:color w:val="000000" w:themeColor="text1"/>
          <w14:textFill>
            <w14:solidFill>
              <w14:schemeClr w14:val="tx1"/>
            </w14:solidFill>
          </w14:textFill>
        </w:rPr>
        <w:t>国家发展改革委</w:t>
      </w:r>
      <w:r>
        <w:rPr>
          <w:color w:val="000000" w:themeColor="text1"/>
          <w14:textFill>
            <w14:solidFill>
              <w14:schemeClr w14:val="tx1"/>
            </w14:solidFill>
          </w14:textFill>
        </w:rPr>
        <w:t>制定了《长江保护修复攻坚战行动计划》。</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与其要求的符合性分析详见下表。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《长江保护修复攻坚战行动计划》</w:t>
      </w:r>
      <w:r>
        <w:rPr>
          <w:color w:val="000000" w:themeColor="text1"/>
          <w14:textFill>
            <w14:solidFill>
              <w14:schemeClr w14:val="tx1"/>
            </w14:solidFill>
          </w14:textFill>
        </w:rPr>
        <w:t>的符合性分析</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1"/>
        <w:gridCol w:w="3658"/>
        <w:gridCol w:w="3244"/>
        <w:gridCol w:w="9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36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文件要求</w:t>
            </w:r>
          </w:p>
        </w:tc>
        <w:tc>
          <w:tcPr>
            <w:tcW w:w="324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情况</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36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优化产业结构布局。加快重污染企业搬迁改造或关闭退出，严禁污染产业、企业向长江中上游地区转移。长江干流及主要支流岸线1公里范围内不准新增化工园区，依法淘汰取缔违法违规工业园区。</w:t>
            </w:r>
          </w:p>
        </w:tc>
        <w:tc>
          <w:tcPr>
            <w:tcW w:w="324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规划内容不涉及化工园区的建设。</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w:t>
            </w:r>
          </w:p>
        </w:tc>
        <w:tc>
          <w:tcPr>
            <w:tcW w:w="36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工业园区应按规定建成污水集中处理设施并稳定达标运行，禁止偷排漏排。加大现有工业园区整治力度，完善污染治理设施，实施雨污分流改造。</w:t>
            </w:r>
          </w:p>
        </w:tc>
        <w:tc>
          <w:tcPr>
            <w:tcW w:w="324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开发区目前废水由沅陵产业开发区污水处理厂处理，污水处理厂投入了运行，按要求安装进水和出水的在线监控装置。污水处理厂均办理了排污口手续。</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8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w:t>
            </w:r>
          </w:p>
        </w:tc>
        <w:tc>
          <w:tcPr>
            <w:tcW w:w="36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强化工业企业达标排放。制定造纸、焦化、氮肥、有色金属、印染、农副食品加工、原料药制造、制革、农药、电镀等十大重点行业专项治理方案，推动工业企业全面达标排放。深入推进排污许可证制度，2020年年底前，完成覆盖所有固定污染源的排污许可证核发工作。</w:t>
            </w:r>
          </w:p>
        </w:tc>
        <w:tc>
          <w:tcPr>
            <w:tcW w:w="324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园区内目前</w:t>
            </w:r>
            <w:r>
              <w:rPr>
                <w:color w:val="000000" w:themeColor="text1"/>
                <w14:textFill>
                  <w14:solidFill>
                    <w14:schemeClr w14:val="tx1"/>
                  </w14:solidFill>
                </w14:textFill>
              </w:rPr>
              <w:t>需要申领排污许可的企业发证率100%，做到了全覆盖。</w:t>
            </w:r>
            <w:r>
              <w:rPr>
                <w:rFonts w:hint="eastAsia"/>
                <w:color w:val="000000" w:themeColor="text1"/>
                <w14:textFill>
                  <w14:solidFill>
                    <w14:schemeClr w14:val="tx1"/>
                  </w14:solidFill>
                </w14:textFill>
              </w:rPr>
              <w:t>湖南省制定了有色金属的专项治理方案，对园区的涉及企业开展例行监督检查。</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开发区</w:t>
      </w:r>
      <w:r>
        <w:rPr>
          <w:snapToGrid/>
          <w:color w:val="000000" w:themeColor="text1"/>
          <w14:textFill>
            <w14:solidFill>
              <w14:schemeClr w14:val="tx1"/>
            </w14:solidFill>
          </w14:textFill>
        </w:rPr>
        <w:t>的建设与《长江保护修复攻坚战行动计划》的要求是符合的。</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与《深入打好长江保护修复攻坚战行动方案》协调性分析</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为深入贯彻习近平总书记关于推动长江经济带发展系列重要讲话和指示批示精神，生态环境部联合其他部委印发《深入打好长江保护修复攻坚战行动方案》（环水体</w:t>
      </w:r>
      <w:r>
        <w:rPr>
          <w:color w:val="000000" w:themeColor="text1"/>
          <w14:textFill>
            <w14:solidFill>
              <w14:schemeClr w14:val="tx1"/>
            </w14:solidFill>
          </w14:textFill>
        </w:rPr>
        <w:t>〔2022〕55号</w:t>
      </w:r>
      <w:r>
        <w:rPr>
          <w:rFonts w:hint="eastAsia"/>
          <w:color w:val="000000" w:themeColor="text1"/>
          <w14:textFill>
            <w14:solidFill>
              <w14:schemeClr w14:val="tx1"/>
            </w14:solidFill>
          </w14:textFill>
        </w:rPr>
        <w:t>），本轮调扩区与其协调性分析详见下表。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与《深入打好长江保护修复攻坚战行动方案》的协调性一览表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45"/>
        <w:gridCol w:w="2538"/>
        <w:gridCol w:w="9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04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文件要求</w:t>
            </w:r>
          </w:p>
        </w:tc>
        <w:tc>
          <w:tcPr>
            <w:tcW w:w="253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情况</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是否符合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045"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第</w:t>
            </w:r>
            <w:r>
              <w:rPr>
                <w:rFonts w:hint="eastAsia"/>
                <w:color w:val="000000" w:themeColor="text1"/>
                <w14:textFill>
                  <w14:solidFill>
                    <w14:schemeClr w14:val="tx1"/>
                  </w14:solidFill>
                </w14:textFill>
              </w:rPr>
              <w:t>七条：开展工业园区水污染整治专项行动，深入排查整治污水管网老旧破损、混接错接等问题，推动提升园区污水收集处理效能。推进化工行业企业排污许可管理，加大园区外化工企业监管力度，确保达标排放，鼓励有条件的化工园区开展初期雨水污染控制试点示范，实施化工企业“一企一管、明管输送、实时监测”，防范环境风险。到2023年年底，长江经济带所有化工园区完成认定工作。到2025年年底，长江经济带省级及以上工业园区污水收集处理效能明显提升，沿江化工产业污染源得到有效控制和全面治理，主要污染物排放总量持续下降。</w:t>
            </w:r>
          </w:p>
        </w:tc>
        <w:tc>
          <w:tcPr>
            <w:tcW w:w="2538"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开发区目前废水由沅陵产业开发区污水处理厂处理，污水处理厂投入了运行，按要求安装进水和出水的在线监控装置。污水处理厂均办理了排污口手续。</w:t>
            </w:r>
          </w:p>
        </w:tc>
        <w:tc>
          <w:tcPr>
            <w:tcW w:w="940"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符合</w:t>
            </w:r>
          </w:p>
        </w:tc>
      </w:tr>
    </w:tbl>
    <w:p>
      <w:pPr>
        <w:pStyle w:val="32"/>
        <w:rPr>
          <w:color w:val="000000" w:themeColor="text1"/>
          <w14:textFill>
            <w14:solidFill>
              <w14:schemeClr w14:val="tx1"/>
            </w14:solidFill>
          </w14:textFill>
        </w:rPr>
      </w:pPr>
      <w:r>
        <w:rPr>
          <w:color w:val="000000" w:themeColor="text1"/>
          <w14:textFill>
            <w14:solidFill>
              <w14:schemeClr w14:val="tx1"/>
            </w14:solidFill>
          </w14:textFill>
        </w:rPr>
        <w:t>与</w:t>
      </w:r>
      <w:r>
        <w:rPr>
          <w:rFonts w:hint="eastAsia"/>
          <w:color w:val="000000" w:themeColor="text1"/>
          <w14:textFill>
            <w14:solidFill>
              <w14:schemeClr w14:val="tx1"/>
            </w14:solidFill>
          </w14:textFill>
        </w:rPr>
        <w:t>其他</w:t>
      </w:r>
      <w:r>
        <w:rPr>
          <w:color w:val="000000" w:themeColor="text1"/>
          <w14:textFill>
            <w14:solidFill>
              <w14:schemeClr w14:val="tx1"/>
            </w14:solidFill>
          </w14:textFill>
        </w:rPr>
        <w:t>相关政策的符合性</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与《国家湿地公园管理办法》的协调性</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根据《国家湿地公园管理办法》（林湿发〔2017〕150号）中的第十九条，除国家另有规定外，国家湿地公园内禁止下列行为：（一）开（围）恳、填埋或者排干湿地。（二）截断湿地水源。（三）挖沙、采矿。（四）倾倒有毒有害物质、废弃物、垃圾。（五）从事房地产、度假村、高尔夫球场、风力发电、光伏发电等任何不符合主体功能定位的建设项目和开发活动。（六）破坏野生动物栖息地和迁徙通道、鱼类洄游通道，滥采滥捕野生动植物。（七）引入外来物种。（八）擅自放牧、捕捞、取土、取水、排污、放生。（九）其他破坏湿地及其生态功能的活动。</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开发区凉水井片区污水处理厂排污口位于湖南省五强溪国家湿地公园兰溪河合理利用区段（东经 110°25′35.30860″，北纬 28°25′16.86763″），不属于国家湿地公园内的禁止行为，</w:t>
      </w:r>
      <w:r>
        <w:rPr>
          <w:rFonts w:hint="eastAsia"/>
          <w:color w:val="000000" w:themeColor="text1"/>
          <w14:textFill>
            <w14:solidFill>
              <w14:schemeClr w14:val="tx1"/>
            </w14:solidFill>
          </w14:textFill>
        </w:rPr>
        <w:t>本次扩区也不会更改污水处理厂许可的排放位置、排放量，</w:t>
      </w:r>
      <w:r>
        <w:rPr>
          <w:rFonts w:hint="eastAsia"/>
          <w:color w:val="000000" w:themeColor="text1"/>
          <w:lang w:val="en-US"/>
          <w14:textFill>
            <w14:solidFill>
              <w14:schemeClr w14:val="tx1"/>
            </w14:solidFill>
          </w14:textFill>
        </w:rPr>
        <w:t>符合《国家湿地公园管理办法》的要求。</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与《湖南省入河排污口监督管理办法》的协调性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根据《湖南省入河排污口监督管理办法》（湘政办﹝2018﹞44 号）第十五条规定，有下列情形之一的，不予同意设置入河排污口：</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（一）饮用水水源一级、二级保护区内；</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（二）自然保护区核心区、缓冲区内；</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（三）水产种质资源保护区内；</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（四）省级以上湿地公园保育区、恢复重建区内；</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（五）能够由污水系统接纳但拒不接入的；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（六）经论证不符合设置要求的；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（七）设置可能使水域水质达不到水功能区要求的；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（八）其他不符合法律法规及国家和地方有关规定的。</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开发区凉水井片区污水处理厂</w:t>
      </w:r>
      <w:r>
        <w:rPr>
          <w:rFonts w:hint="eastAsia"/>
          <w:color w:val="000000" w:themeColor="text1"/>
          <w14:textFill>
            <w14:solidFill>
              <w14:schemeClr w14:val="tx1"/>
            </w14:solidFill>
          </w14:textFill>
        </w:rPr>
        <w:t>入河排污口选址为国家级湿地公园的合理利用区内，不属于省级以上湿地公园保育区、恢复重建区内。本次扩区凉水井片区拟新设污水处理厂，也不会更改排污口许可的排放位置。因此，</w:t>
      </w:r>
      <w:r>
        <w:rPr>
          <w:rFonts w:hint="eastAsia"/>
          <w:color w:val="000000" w:themeColor="text1"/>
          <w:lang w:val="en-US"/>
          <w14:textFill>
            <w14:solidFill>
              <w14:schemeClr w14:val="tx1"/>
            </w14:solidFill>
          </w14:textFill>
        </w:rPr>
        <w:t>开发区凉水井片区污水处理厂</w:t>
      </w:r>
      <w:r>
        <w:rPr>
          <w:rFonts w:hint="eastAsia"/>
          <w:color w:val="000000" w:themeColor="text1"/>
          <w14:textFill>
            <w14:solidFill>
              <w14:schemeClr w14:val="tx1"/>
            </w14:solidFill>
          </w14:textFill>
        </w:rPr>
        <w:t>选址不违反《湖南省入河排污口监督管理办法》（湘政办﹝2018﹞44 号）中有关湿地公园的相关要求。</w:t>
      </w:r>
    </w:p>
    <w:p>
      <w:pPr>
        <w:pStyle w:val="28"/>
        <w:rPr>
          <w:color w:val="000000" w:themeColor="text1"/>
          <w14:textFill>
            <w14:solidFill>
              <w14:schemeClr w14:val="tx1"/>
            </w14:solidFill>
          </w14:textFill>
        </w:rPr>
      </w:pPr>
      <w:bookmarkStart w:id="16" w:name="_Toc236641271"/>
      <w:r>
        <w:rPr>
          <w:color w:val="000000" w:themeColor="text1"/>
          <w14:textFill>
            <w14:solidFill>
              <w14:schemeClr w14:val="tx1"/>
            </w14:solidFill>
          </w14:textFill>
        </w:rPr>
        <w:t>现状调查与评价</w:t>
      </w:r>
      <w:bookmarkEnd w:id="16"/>
    </w:p>
    <w:p>
      <w:pPr>
        <w:pStyle w:val="30"/>
        <w:rPr>
          <w:color w:val="000000" w:themeColor="text1"/>
          <w14:textFill>
            <w14:solidFill>
              <w14:schemeClr w14:val="tx1"/>
            </w14:solidFill>
          </w14:textFill>
        </w:rPr>
      </w:pPr>
      <w:bookmarkStart w:id="17" w:name="_Toc236641272"/>
      <w:r>
        <w:rPr>
          <w:color w:val="000000" w:themeColor="text1"/>
          <w14:textFill>
            <w14:solidFill>
              <w14:schemeClr w14:val="tx1"/>
            </w14:solidFill>
          </w14:textFill>
        </w:rPr>
        <w:t>园区</w:t>
      </w:r>
      <w:r>
        <w:rPr>
          <w:rFonts w:hint="eastAsia"/>
          <w:color w:val="000000" w:themeColor="text1"/>
          <w14:textFill>
            <w14:solidFill>
              <w14:schemeClr w14:val="tx1"/>
            </w14:solidFill>
          </w14:textFill>
        </w:rPr>
        <w:t>产业现状调查</w:t>
      </w:r>
      <w:bookmarkEnd w:id="17"/>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产业开发现状</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近年来发展迅速。园区主动融入怀化国际陆港建设，着力打造“六大临港产业链”。“一区两园”格局基本形成，构建了“1+1+3”和“6+3”现代化产业新体系，结合园区产业基础和特色，科学功能分区，湖南（沅陵）台湾工业园重点发展电子元器件、品牌茶酒、中药材等产业链，官庄辰州工业新区产业园主要打造有色金属冶炼及压延加工产业链。</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获批省级以上公共服务平台12个，为园区产业发展持续赋能。“十四五”期间，园区以有色金属冶炼和压延加工业为主导产业，以计算机、通信和其他电子设备制造业为特色产业，不断优化产业结构，引导产业集聚发展，产业发展量质齐升。</w:t>
      </w:r>
    </w:p>
    <w:p>
      <w:pPr>
        <w:pStyle w:val="30"/>
        <w:rPr>
          <w:color w:val="000000" w:themeColor="text1"/>
          <w14:textFill>
            <w14:solidFill>
              <w14:schemeClr w14:val="tx1"/>
            </w14:solidFill>
          </w14:textFill>
        </w:rPr>
      </w:pPr>
      <w:bookmarkStart w:id="18" w:name="_Toc236641273"/>
      <w:r>
        <w:rPr>
          <w:color w:val="000000" w:themeColor="text1"/>
          <w14:textFill>
            <w14:solidFill>
              <w14:schemeClr w14:val="tx1"/>
            </w14:solidFill>
          </w14:textFill>
        </w:rPr>
        <w:t>上一轮规划</w:t>
      </w:r>
      <w:r>
        <w:rPr>
          <w:rFonts w:hint="eastAsia"/>
          <w:color w:val="000000" w:themeColor="text1"/>
          <w14:textFill>
            <w14:solidFill>
              <w14:schemeClr w14:val="tx1"/>
            </w14:solidFill>
          </w14:textFill>
        </w:rPr>
        <w:t>实施</w:t>
      </w:r>
      <w:r>
        <w:rPr>
          <w:color w:val="000000" w:themeColor="text1"/>
          <w14:textFill>
            <w14:solidFill>
              <w14:schemeClr w14:val="tx1"/>
            </w14:solidFill>
          </w14:textFill>
        </w:rPr>
        <w:t>情况</w:t>
      </w:r>
      <w:bookmarkEnd w:id="18"/>
    </w:p>
    <w:p>
      <w:pPr>
        <w:pStyle w:val="32"/>
        <w:rPr>
          <w:color w:val="000000" w:themeColor="text1"/>
          <w14:textFill>
            <w14:solidFill>
              <w14:schemeClr w14:val="tx1"/>
            </w14:solidFill>
          </w14:textFill>
        </w:rPr>
      </w:pPr>
      <w:r>
        <w:rPr>
          <w:color w:val="000000" w:themeColor="text1"/>
          <w14:textFill>
            <w14:solidFill>
              <w14:schemeClr w14:val="tx1"/>
            </w14:solidFill>
          </w14:textFill>
        </w:rPr>
        <w:t>上一轮规划概况</w:t>
      </w:r>
    </w:p>
    <w:p>
      <w:pPr>
        <w:pStyle w:val="51"/>
        <w:ind w:firstLine="480"/>
        <w:rPr>
          <w:snapToGrid/>
          <w:color w:val="000000" w:themeColor="text1"/>
          <w:lang w:val="en-US"/>
          <w14:textFill>
            <w14:solidFill>
              <w14:schemeClr w14:val="tx1"/>
            </w14:solidFill>
          </w14:textFill>
        </w:rPr>
      </w:pPr>
      <w:r>
        <w:rPr>
          <w:rFonts w:hint="eastAsia"/>
          <w:snapToGrid/>
          <w:color w:val="000000" w:themeColor="text1"/>
          <w14:textFill>
            <w14:solidFill>
              <w14:schemeClr w14:val="tx1"/>
            </w14:solidFill>
          </w14:textFill>
        </w:rPr>
        <w:t>《怀化市沅陵工业集中区发展规划（2011-2020 年）》是</w:t>
      </w:r>
      <w:r>
        <w:rPr>
          <w:rFonts w:hint="eastAsia"/>
          <w:snapToGrid/>
          <w:color w:val="000000" w:themeColor="text1"/>
          <w:lang w:val="en-US"/>
          <w14:textFill>
            <w14:solidFill>
              <w14:schemeClr w14:val="tx1"/>
            </w14:solidFill>
          </w14:textFill>
        </w:rPr>
        <w:t>正在</w:t>
      </w:r>
      <w:r>
        <w:rPr>
          <w:rFonts w:hint="eastAsia"/>
          <w:snapToGrid/>
          <w:color w:val="000000" w:themeColor="text1"/>
          <w14:textFill>
            <w14:solidFill>
              <w14:schemeClr w14:val="tx1"/>
            </w14:solidFill>
          </w14:textFill>
        </w:rPr>
        <w:t>实施的规划方案，主要针对凉水井片区和</w:t>
      </w:r>
      <w:r>
        <w:rPr>
          <w:rFonts w:hint="eastAsia"/>
          <w:snapToGrid/>
          <w:color w:val="000000" w:themeColor="text1"/>
          <w:lang w:val="en-US"/>
          <w14:textFill>
            <w14:solidFill>
              <w14:schemeClr w14:val="tx1"/>
            </w14:solidFill>
          </w14:textFill>
        </w:rPr>
        <w:t>官庄片区，麻溪铺片区在以往历史中并未编制规划方案。</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（1）规划范围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园区选址在沅陵县凉水井镇欧家湾村和松山边村之间；位于沅陵县城东南部，园区东依常吉高速公路，北至高速公路沅陵县城连接线，西、南以山体为界，规划总面积为300hm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（2）规划期限</w:t>
      </w:r>
    </w:p>
    <w:p>
      <w:pPr>
        <w:pStyle w:val="51"/>
        <w:ind w:firstLine="480"/>
        <w:rPr>
          <w:snapToGrid/>
          <w:color w:val="000000" w:themeColor="text1"/>
          <w:lang w:val="en-US"/>
          <w14:textFill>
            <w14:solidFill>
              <w14:schemeClr w14:val="tx1"/>
            </w14:solidFill>
          </w14:textFill>
        </w:rPr>
      </w:pPr>
      <w:r>
        <w:rPr>
          <w:rFonts w:hint="eastAsia"/>
          <w:snapToGrid/>
          <w:color w:val="000000" w:themeColor="text1"/>
          <w14:textFill>
            <w14:solidFill>
              <w14:schemeClr w14:val="tx1"/>
            </w14:solidFill>
          </w14:textFill>
        </w:rPr>
        <w:t>规划期限为2011-2020年。</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（3）产业定位</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以传统农副产品加工产业为基础、以新材料新能源产业为特色的湖南湘西地区现代化工业园区，沅陵县城区的重要组成部分。</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（4）用地布局</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规划形成“一心、二区、五轴”的规划结构。</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一心”即一个公建中心。园区公建设施与产业用地适当分开，规划在常吉高速公路沅陵县城连接线北面建设一个公共服务中心，布置园区的行政办公、商业、文化、医疗等用地，是园区的主中心，为整个园区服务。</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“二区”即二个产业园区，分别是新能源、新材料产业区和农副食品加工区。</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“五轴”是指沿高速公路连接线的城区发展轴、沿工业园南北向的产业发展主轴和沿工业园东西向的三条产业发展次轴。</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（5）给水工程规划</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规划产业园区以沅陵县城的水厂为水源，近期利用沅陵县自来水厂，使其供水能力为7万m</w:t>
      </w:r>
      <w:r>
        <w:rPr>
          <w:rFonts w:hint="eastAsia"/>
          <w:snapToGrid/>
          <w:color w:val="000000" w:themeColor="text1"/>
          <w:vertAlign w:val="superscript"/>
          <w14:textFill>
            <w14:solidFill>
              <w14:schemeClr w14:val="tx1"/>
            </w14:solidFill>
          </w14:textFill>
        </w:rPr>
        <w:t>3</w:t>
      </w:r>
      <w:r>
        <w:rPr>
          <w:rFonts w:hint="eastAsia"/>
          <w:snapToGrid/>
          <w:color w:val="000000" w:themeColor="text1"/>
          <w14:textFill>
            <w14:solidFill>
              <w14:schemeClr w14:val="tx1"/>
            </w14:solidFill>
          </w14:textFill>
        </w:rPr>
        <w:t>/d；远期利用新建的城南水厂，供水能力为8万m</w:t>
      </w:r>
      <w:r>
        <w:rPr>
          <w:rFonts w:hint="eastAsia"/>
          <w:snapToGrid/>
          <w:color w:val="000000" w:themeColor="text1"/>
          <w:vertAlign w:val="superscript"/>
          <w14:textFill>
            <w14:solidFill>
              <w14:schemeClr w14:val="tx1"/>
            </w14:solidFill>
          </w14:textFill>
        </w:rPr>
        <w:t>3</w:t>
      </w:r>
      <w:r>
        <w:rPr>
          <w:rFonts w:hint="eastAsia"/>
          <w:snapToGrid/>
          <w:color w:val="000000" w:themeColor="text1"/>
          <w14:textFill>
            <w14:solidFill>
              <w14:schemeClr w14:val="tx1"/>
            </w14:solidFill>
          </w14:textFill>
        </w:rPr>
        <w:t>/d。从水厂沿常吉高速公路沅陵县城连接线敷设管径为600mm的输水干管送水至园区。</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（6）排水工程规划</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园区采用雨污分流排水体制，雨水经截水干管收集后就近排入附近的边沟、边渠。在园区污水处理厂建成投入运行前，各企业排放的污废水必须自行处理达《污水综合排放标准》（GB8978-1996）中的一级标准要求后外排。在园区污水处理厂建成投入运行后，园区各企业生产废水经自行处理达《污水综合排放标准》（GB8978-1996）中的三级标准并满足园区污水处理厂进水水质要求后，排入工业园污水处理厂集中处理达《城镇污水处理厂污染物综合排放标准》（GB18918-2002）中的一级B标准后，排入蓝溪河。</w:t>
      </w:r>
    </w:p>
    <w:p>
      <w:pPr>
        <w:pStyle w:val="51"/>
        <w:ind w:firstLine="480"/>
        <w:rPr>
          <w:snapToGrid/>
          <w:color w:val="000000" w:themeColor="text1"/>
          <w:lang w:val="en-US"/>
          <w14:textFill>
            <w14:solidFill>
              <w14:schemeClr w14:val="tx1"/>
            </w14:solidFill>
          </w14:textFill>
        </w:rPr>
      </w:pPr>
      <w:r>
        <w:rPr>
          <w:rFonts w:hint="eastAsia"/>
          <w:snapToGrid/>
          <w:color w:val="000000" w:themeColor="text1"/>
          <w:lang w:val="en-US"/>
          <w14:textFill>
            <w14:solidFill>
              <w14:schemeClr w14:val="tx1"/>
            </w14:solidFill>
          </w14:textFill>
        </w:rPr>
        <w:t>（7）能源规划</w:t>
      </w:r>
    </w:p>
    <w:p>
      <w:pPr>
        <w:pStyle w:val="51"/>
        <w:ind w:firstLine="480"/>
        <w:rPr>
          <w:snapToGrid/>
          <w:color w:val="000000" w:themeColor="text1"/>
          <w:lang w:val="en-US"/>
          <w14:textFill>
            <w14:solidFill>
              <w14:schemeClr w14:val="tx1"/>
            </w14:solidFill>
          </w14:textFill>
        </w:rPr>
      </w:pPr>
      <w:r>
        <w:rPr>
          <w:rFonts w:hint="eastAsia"/>
          <w:snapToGrid/>
          <w:color w:val="000000" w:themeColor="text1"/>
          <w:lang w:val="en-US"/>
          <w14:textFill>
            <w14:solidFill>
              <w14:schemeClr w14:val="tx1"/>
            </w14:solidFill>
          </w14:textFill>
        </w:rPr>
        <w:t>在天然气未进入沅陵前，燃气气源仍依靠液化石油气，并主要向园区生活和部分公共设施供气。液化石油气储配站在全县统一考虑，规划区内不安排液化石油气储配站。规划天然气高压输气干管由县城天然气门站引入，经过园区燃气调压站降压后进入产业园燃气管网。</w:t>
      </w:r>
    </w:p>
    <w:p>
      <w:pPr>
        <w:pStyle w:val="51"/>
        <w:ind w:firstLine="480"/>
        <w:rPr>
          <w:snapToGrid/>
          <w:color w:val="000000" w:themeColor="text1"/>
          <w:lang w:val="en-US"/>
          <w14:textFill>
            <w14:solidFill>
              <w14:schemeClr w14:val="tx1"/>
            </w14:solidFill>
          </w14:textFill>
        </w:rPr>
      </w:pPr>
      <w:r>
        <w:rPr>
          <w:rFonts w:hint="eastAsia"/>
          <w:snapToGrid/>
          <w:color w:val="000000" w:themeColor="text1"/>
          <w:lang w:val="en-US"/>
          <w14:textFill>
            <w14:solidFill>
              <w14:schemeClr w14:val="tx1"/>
            </w14:solidFill>
          </w14:textFill>
        </w:rPr>
        <w:t>沅陵县工业园未规划集中供热，入园各企业供热设施自行选择。沅陵县境内有五强溪、凤滩和高滩3座大中型水电站，以及岩屋潭、洞潭、挖渔槽等12座小型水电站，总装机容量209.2万KW，电力资源极为丰富。工业园能源结构将以电能为主，能源结构中电：煤大致比例为80：20。后期发展将会用气代替一部分煤。</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上一轮规划的实施情况</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（1）土地开发强度调查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根据原规划环评，评价范围为300公顷，不包括官庄片区；园区在2024年进行了调区，将不利于开发的部分地块调出园区。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湖南省发展和改革委员会关于祁东高新技术产业开发区等4家园区调区的函》（湘发改园区〔2024〕21号），沅陵产业开发区调区后总面积为210.14公顷，已批准征收土地面积和已批准转用土地面积均为155.08公顷，已到达供地条件的土地面积148.54公顷，占土地总面积的70.69%，已供应国有建设用地面积139.10公顷占土地总面积的66.19%，已建成城镇建设用地面积113.13公顷占土地总面积的53.83%，工矿仓储用地面积92.16公顷占已建成城镇建设用地面积的81.46%。而住宅用地面积、不可建设土地面积、批而未供土地面积以及闲置土地面积均为0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经测算园区土地开发率为70.69%，工业用地率为81.46%。</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开发区土地利用状况统计表</w:t>
      </w:r>
    </w:p>
    <w:tbl>
      <w:tblPr>
        <w:tblStyle w:val="40"/>
        <w:tblW w:w="852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4262"/>
        <w:gridCol w:w="23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noWrap/>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tc>
          <w:tcPr>
            <w:tcW w:w="4262" w:type="dxa"/>
            <w:noWrap/>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tc>
          <w:tcPr>
            <w:tcW w:w="2392" w:type="dxa"/>
            <w:noWrap/>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批准范围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土地利用状况数据</w:t>
            </w: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土地总面积（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210.14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规划建设用地面积（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210.14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已批准征收土地面积（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155.08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已批准转用土地面积（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155.08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已到达供地条件的土地面积（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148.54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已供应国有建设用地面积（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139.1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已建成城镇建设用地面积（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113.13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工矿仓储用地面积（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92.16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住宅用地面积（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不可建设土地面积（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批而未供土地面积（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Merge w:val="continue"/>
            <w:vAlign w:val="center"/>
          </w:tcPr>
          <w:p>
            <w:pPr>
              <w:pStyle w:val="36"/>
              <w:rPr>
                <w:color w:val="000000" w:themeColor="text1"/>
                <w14:textFill>
                  <w14:solidFill>
                    <w14:schemeClr w14:val="tx1"/>
                  </w14:solidFill>
                </w14:textFill>
              </w:rPr>
            </w:pPr>
          </w:p>
        </w:tc>
        <w:tc>
          <w:tcPr>
            <w:tcW w:w="42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闲置土地面积（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239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bl>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（2）产业发展情况</w:t>
      </w:r>
    </w:p>
    <w:p>
      <w:pPr>
        <w:pStyle w:val="51"/>
        <w:ind w:firstLine="480"/>
        <w:rPr>
          <w:snapToGrid/>
          <w:color w:val="000000" w:themeColor="text1"/>
          <w14:textFill>
            <w14:solidFill>
              <w14:schemeClr w14:val="tx1"/>
            </w14:solidFill>
          </w14:textFill>
        </w:rPr>
      </w:pPr>
      <w:r>
        <w:rPr>
          <w:rFonts w:hint="eastAsia"/>
          <w:snapToGrid/>
          <w:color w:val="000000" w:themeColor="text1"/>
          <w:lang w:val="en-US"/>
          <w14:textFill>
            <w14:solidFill>
              <w14:schemeClr w14:val="tx1"/>
            </w14:solidFill>
          </w14:textFill>
        </w:rPr>
        <w:t>园区经过多年发展</w:t>
      </w:r>
      <w:r>
        <w:rPr>
          <w:rFonts w:hint="eastAsia"/>
          <w:snapToGrid/>
          <w:color w:val="000000" w:themeColor="text1"/>
          <w14:textFill>
            <w14:solidFill>
              <w14:schemeClr w14:val="tx1"/>
            </w14:solidFill>
          </w14:textFill>
        </w:rPr>
        <w:t>，园区内的产业定位变化较大，因市场原因，原规划的新能源未发展起来，新材料的企业也很少。原规划的主导产业占比不高。从产业开发区多年的发展进程和现状产业情况看，原规划主导产业定位的依据充分，但支撑条件不足，当初的规划只着眼近期，未从长远的行业市场、环境保护等角度考虑，以致主导产业未能得到有序发展，整体工业发展较缓慢。由此可知，原规划的产业定位及布局均不够合理。</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原规划的新能源在该区域没有优势资源和条件，且可能涉及重金属、危险废物等严重环境污染物的排放，不适宜在园区发展，更不适合作为主导产业。原规划将农副食品加工作为园区的主导产业较合理，一方面在沅陵县有丰富的农业资源，另一方面农副食品加工相对其他产业，生产工艺相对简单，污染物产排可控，在产业政策相符的情况下对自然环境的影响有限。</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《中国开发区审核公告目录》（2018 年版），核定的产业定位变更为新材料、电气机械、食品。由于市场及行情变化，沅陵产业开发区也未能将核定的主导产业发展起来。</w:t>
      </w:r>
    </w:p>
    <w:p>
      <w:pPr>
        <w:pStyle w:val="51"/>
        <w:ind w:firstLine="480"/>
        <w:rPr>
          <w:snapToGrid/>
          <w:color w:val="000000" w:themeColor="text1"/>
          <w14:textFill>
            <w14:solidFill>
              <w14:schemeClr w14:val="tx1"/>
            </w14:solidFill>
          </w14:textFill>
        </w:rPr>
      </w:pPr>
      <w:r>
        <w:rPr>
          <w:rFonts w:hint="eastAsia"/>
          <w:snapToGrid/>
          <w:color w:val="000000" w:themeColor="text1"/>
          <w14:textFill>
            <w14:solidFill>
              <w14:schemeClr w14:val="tx1"/>
            </w14:solidFill>
          </w14:textFill>
        </w:rPr>
        <w:t>在此种情况下，沅陵产业开发区综合考虑国家产业政策及市场行情的发展需求，结合国家、省产业导向，大力发展电子信息产业，并在将官庄片区纳入园区后，将有色金属冶炼产业作为园区产业。截至目前形成了“一主一特”的产业布局形式，及以有色金属冶炼产业为主，以电子信息产业作为特色产业的发展格局。</w:t>
      </w:r>
    </w:p>
    <w:p>
      <w:pPr>
        <w:pStyle w:val="32"/>
        <w:rPr>
          <w:color w:val="000000" w:themeColor="text1"/>
          <w14:textFill>
            <w14:solidFill>
              <w14:schemeClr w14:val="tx1"/>
            </w14:solidFill>
          </w14:textFill>
        </w:rPr>
      </w:pPr>
      <w:r>
        <w:rPr>
          <w:color w:val="000000" w:themeColor="text1"/>
          <w14:textFill>
            <w14:solidFill>
              <w14:schemeClr w14:val="tx1"/>
            </w14:solidFill>
          </w14:textFill>
        </w:rPr>
        <w:t>规划环评批复落实情况</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沅陵产业开发区</w:t>
      </w:r>
      <w:r>
        <w:rPr>
          <w:rFonts w:hint="eastAsia"/>
          <w:color w:val="000000" w:themeColor="text1"/>
          <w14:textFill>
            <w14:solidFill>
              <w14:schemeClr w14:val="tx1"/>
            </w14:solidFill>
          </w14:textFill>
        </w:rPr>
        <w:t>于201</w:t>
      </w:r>
      <w:r>
        <w:rPr>
          <w:rFonts w:hint="eastAsia"/>
          <w:color w:val="000000" w:themeColor="text1"/>
          <w:lang w:val="en-US"/>
          <w14:textFill>
            <w14:solidFill>
              <w14:schemeClr w14:val="tx1"/>
            </w14:solidFill>
          </w14:textFill>
        </w:rPr>
        <w:t>1</w:t>
      </w:r>
      <w:r>
        <w:rPr>
          <w:rFonts w:hint="eastAsia"/>
          <w:color w:val="000000" w:themeColor="text1"/>
          <w14:textFill>
            <w14:solidFill>
              <w14:schemeClr w14:val="tx1"/>
            </w14:solidFill>
          </w14:textFill>
        </w:rPr>
        <w:t>年</w:t>
      </w:r>
      <w:r>
        <w:rPr>
          <w:rFonts w:hint="eastAsia"/>
          <w:color w:val="000000" w:themeColor="text1"/>
          <w:lang w:val="en-US"/>
          <w14:textFill>
            <w14:solidFill>
              <w14:schemeClr w14:val="tx1"/>
            </w14:solidFill>
          </w14:textFill>
        </w:rPr>
        <w:t>1</w:t>
      </w:r>
      <w:r>
        <w:rPr>
          <w:rFonts w:hint="eastAsia"/>
          <w:color w:val="000000" w:themeColor="text1"/>
          <w14:textFill>
            <w14:solidFill>
              <w14:schemeClr w14:val="tx1"/>
            </w14:solidFill>
          </w14:textFill>
        </w:rPr>
        <w:t>月6日获得《关于湖南沅陵新能源新材料产业园项日环境影响报告书的批复》（湘环评〔2011〕5号）。关于审查意见的函中提出的要求，落实情况见下表。</w:t>
      </w:r>
    </w:p>
    <w:p>
      <w:pPr>
        <w:pStyle w:val="52"/>
        <w:rPr>
          <w:color w:val="000000" w:themeColor="text1"/>
          <w14:textFill>
            <w14:solidFill>
              <w14:schemeClr w14:val="tx1"/>
            </w14:solidFill>
          </w14:textFill>
        </w:rPr>
      </w:pPr>
      <w:bookmarkStart w:id="19" w:name="_Hlk111456760"/>
      <w:r>
        <w:rPr>
          <w:color w:val="000000" w:themeColor="text1"/>
          <w14:textFill>
            <w14:solidFill>
              <w14:schemeClr w14:val="tx1"/>
            </w14:solidFill>
          </w14:textFill>
        </w:rPr>
        <w:t>规划环评批复落实情况</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9"/>
        <w:gridCol w:w="3552"/>
        <w:gridCol w:w="3506"/>
        <w:gridCol w:w="6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rPr>
                <w:color w:val="000000" w:themeColor="text1"/>
                <w:kern w:val="2"/>
                <w14:textFill>
                  <w14:solidFill>
                    <w14:schemeClr w14:val="tx1"/>
                  </w14:solidFill>
                </w14:textFill>
              </w:rPr>
            </w:pPr>
            <w:r>
              <w:rPr>
                <w:rFonts w:hint="eastAsia"/>
                <w:color w:val="000000" w:themeColor="text1"/>
                <w14:textFill>
                  <w14:solidFill>
                    <w14:schemeClr w14:val="tx1"/>
                  </w14:solidFill>
                </w14:textFill>
              </w:rPr>
              <w:t>序号</w:t>
            </w:r>
          </w:p>
        </w:tc>
        <w:tc>
          <w:tcPr>
            <w:tcW w:w="35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规划及环评要求</w:t>
            </w:r>
          </w:p>
        </w:tc>
        <w:tc>
          <w:tcPr>
            <w:tcW w:w="350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实际建设情况</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是否</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1、进一步优化规划布局</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做好园区规划布局，园区自东北向西南依次布置新能源新材料产业区、综合服务区、农副食品加工区，严格按照功能区划进行开发建设、园区内不设居住用地，确保功能区划明确、产业相对集中、生态环境优良。</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（1）园区自东北向西南依次布置新能源新材料产业区、综合服务区、农副食品加工区。（2）园区内不设居住用地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2、严格执行集中区入园企业准入制度</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严格执行入园企业准入制度，入园项目选址必须符合园区总体发展规划、环保规划及工业园主导产业定位要求，不得引进国家明令淘汰和禁止发展的能耗物耗高、污染严重、不符合产业政策的建设项目，防止污染项目转移落户园区，不新建三类工业项目。管委会必须按照报告书提出的项目入园条件控制要求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优先、禁止类项目（行业准入名单）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做好项目的招商把关，在入园项目前期和建设期，必须严格执行建设想缓解影响评价和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三同时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制度，其排污浓度、总量必须满足达标排放和总量控制要求，并推行清洁生产工艺，从源头防治污染。</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园区在引进项目的过程中，执行了入园企业准入制度，入园项目选址均符合园区总体发展规划、环保规划及工业园主导产业定位要求；管委会按照报告书提出的项目入园条件控制要求和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优先、禁止类项目（行 业）准入名单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做好项目的招商把关；园区未引进国家明令淘汰和禁止发展的能耗高、环境污染严重、不符合产业政策的建设项目，未新建三类工业项目；根据怀化市政府及相关部门意见严格限制排水量大及以水型污染为特征的企业进入；在入园项目前期和建设期，园区管委会要求入园企业严格执行建设项目环境影响评价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三同时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管理制度，推行清洁生产工艺；目前各入园企业排污浓度、总量均满足达标排放和总量控制要求</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3、落实集中区水污染控制措施</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按雨污分流制建设园区排水管网，加快园区污水处理厂等配套基础设施建设进度，截污、排污管网必须与道路建设及区域开发同步进行，保障园区污水顺利进入污水集中处理厂，园区污水处理厂应兼顾邻近凉水井集镇区生活污水处理，按照报告书要求将其近期规模调整至1.5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以上；污水处理厂具体选址、规模、工艺等必须另行环评确定。园区污水处理厂建成前，入园企业外排废水必须自行处理达到《污水综合排放标准》（GB8978-1996）一级标准；污水处理厂建成运营后，园区各企业单位废水必须进行处理满足污水处理厂进水水质要求后，通过污水管网集中送至园区污水处理厂深度处理后排入蓝溪河；一类污染物在企业车间排放口达标。</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沅陵产业开发区由于园区开发程度不高，污水处理站设计建设规模较小。目前园区建有集中污水处理厂1座及污水收集管网5.67公里，污水处理设施设计总规模为15000吨/天，已建成1500吨/天。其中一期建成规模500吨/天，一期工程处理工艺为FMBR兼氧膜技术工艺。二期建成规模1000吨/天，二期工程处理工艺为A</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O+MBR组合工艺。园区污水处理设施尾水已将排口迁改到蓝溪河边，已办理了入河排污口申报手续并获批，污水厂安装了自动在线监控设备并与省、市、区生态环境部门24小时联网。园区各企业单位废水通过污水管网集中送至园区污水处理厂深度处理达到《城镇污水处理厂污染物排放标准》（GB18918-2002）中表1之一级B标准后排入蓝溪河。园区暂不产生一类污染物。</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4、按报告书要求做好集中区大气污控制措施</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按报告书要求做好园区大气污染控制措施。管委会应做好园区内低硫煤的统一调配和供应，并积极推广清洁能源；加强入园企业环保管理，督促企业配套建设污染物防治设施，入园企业各生产装置排放的废弃需经处理达到相应的行业排放标准及《大气污染物综合排放标准》中的二级标准；加强生产工艺研究与技术改进，采取有效措施，减少园区内工艺废气的无组织排放。</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园区已完成能源结构的转变，已实现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全面禁煤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，目前园区内主要使用能源为电、天然气和生物质；园区管委会要求入园企业加强环保管理，按照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三同时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制度配套建设污染防治设施，入园企业各生产装置排放 的废气须经处理达到相应的行业排放标准及《大气污染物综合排放标准》中的二级标准。园区已于2019年9月建成检测参数为PM</w:t>
            </w:r>
            <w:r>
              <w:rPr>
                <w:color w:val="000000" w:themeColor="text1"/>
                <w:vertAlign w:val="subscript"/>
                <w14:textFill>
                  <w14:solidFill>
                    <w14:schemeClr w14:val="tx1"/>
                  </w14:solidFill>
                </w14:textFill>
              </w:rPr>
              <w:t>10</w:t>
            </w: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、CO、O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及气象五参数的微型空气监测站一座。</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5、做好集中区工业固体废物和生活垃圾处理</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做好工业固体废物和生活垃圾的分类收集、转运、综合利用和无害化处理，建立统一的固废收集、贮存、运输、综合利用和安全处置的运营管理体系。规范固体废物处理措施，对工业企业产生固体废物特别是危险固废应按国家有关规定综合利用或妥善处置、严防二次污染。按报告书要求及建议选址建设好园区生活垃圾填埋场和一般工业固废处置场，满足相关规范要求。</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内各企业工业固废和生活垃圾均按照性质分类存放、转运、综合利用和无害化处理；园区未建立统一的固废收集、贮存、运输、综合利用和安全处置的运营管理体系，园区内固废处置由各企业自行负责，各企业产生的危险固体废物均已按规范设置厂内危废暂存间，并定期委托有资质单位进行处理。园区尚未建设园区生活垃圾填埋场和一般工业固废处置场。</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6、环境管理</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园区要建立专职的环境监督管理机构，建立健全环境风险事故防范措施和应急预案，严防环境风险事故发生。</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已建立专职的环境监督管理机构，并于2022年3月修编了突发环境事件应急预案并备案（备案号为43122-2022-040-G）。并与沅陵县环境污染事故应急预案衔接，在事故发生时，可以及时地控制、消除并竟可能将其影响降至最低。</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7、拆迁安置</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统筹制定拆迁安置方案，落实移民生产生活安置措施，防止移民再次安置和次生环境问题。</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已制定拆迁安置方案，园区现设有三个安置点，分别为位于园区西北面的高岩安置点、园区东面的刘家安置点、园区中北面的岩湾安置点，未发生移民再次安置和次生环境问题。</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8、做好建设期的生态保护和水土保持工作</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做好建设期的生态保护和水土保持工作，对园区内的高大乔木应采取就地保护或保护性移植措施，土石方开挖、堆存及回填要实施围挡、护坡等措施，裸露地及时恢复植被，防止水土流失。按报告书要求适量保留原有山体植被，保留园区中南部二个主导产业分区之间的西北-东南向山体和紧邻长吉高速公路的山体，提高园区建设的生态适宜度，减轻对常吉高速公路的不利景观影响。</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园区现有企业已做好建设期的生态保护和水土保持工作，园区内未存在明显生态破坏和水土流失问题；园区在开发过程中已尽量保留原有山体植被和紧临常吉高速公路的山体。</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799"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9、污染物总量控制</w:t>
            </w:r>
          </w:p>
        </w:tc>
        <w:tc>
          <w:tcPr>
            <w:tcW w:w="3552"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污染物总量控制：COD≤517t/a、SO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≤200t/a，总量指标纳入当地环保部门总量控制管理。</w:t>
            </w:r>
          </w:p>
        </w:tc>
        <w:tc>
          <w:tcPr>
            <w:tcW w:w="3506"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根据园区</w:t>
            </w:r>
            <w:r>
              <w:rPr>
                <w:rFonts w:hint="eastAsia"/>
                <w:color w:val="000000" w:themeColor="text1"/>
                <w14:textFill>
                  <w14:solidFill>
                    <w14:schemeClr w14:val="tx1"/>
                  </w14:solidFill>
                </w14:textFill>
              </w:rPr>
              <w:t>2024</w:t>
            </w:r>
            <w:r>
              <w:rPr>
                <w:color w:val="000000" w:themeColor="text1"/>
                <w14:textFill>
                  <w14:solidFill>
                    <w14:schemeClr w14:val="tx1"/>
                  </w14:solidFill>
                </w14:textFill>
              </w:rPr>
              <w:t>年主要污染物排放量统计，目前园区各污染物的排放量均远远低于总量控制指标。总量指标已纳入当地环保部门污染物总量控制管理。</w:t>
            </w:r>
          </w:p>
        </w:tc>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bookmarkEnd w:id="19"/>
    </w:tbl>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规划环评跟踪评价落实情况</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沅陵产业开发区于2022年5月5日获得《关于沅陵产业开发区环境影响跟踪评价工作意见的函》（湘环评函〔2022〕16号）。跟踪评价主要针对园区凉水井片区开展，关于函中提出的要求，落实情况见下表。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跟踪评价批复</w:t>
      </w:r>
      <w:r>
        <w:rPr>
          <w:color w:val="000000" w:themeColor="text1"/>
          <w14:textFill>
            <w14:solidFill>
              <w14:schemeClr w14:val="tx1"/>
            </w14:solidFill>
          </w14:textFill>
        </w:rPr>
        <w:t>落实情况</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
        <w:gridCol w:w="5327"/>
        <w:gridCol w:w="1865"/>
        <w:gridCol w:w="66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kern w:val="2"/>
                <w14:textFill>
                  <w14:solidFill>
                    <w14:schemeClr w14:val="tx1"/>
                  </w14:solidFill>
                </w14:textFill>
              </w:rPr>
            </w:pPr>
            <w:r>
              <w:rPr>
                <w:rFonts w:hint="eastAsia"/>
                <w:color w:val="000000" w:themeColor="text1"/>
                <w14:textFill>
                  <w14:solidFill>
                    <w14:schemeClr w14:val="tx1"/>
                  </w14:solidFill>
                </w14:textFill>
              </w:rPr>
              <w:t>序号</w:t>
            </w:r>
          </w:p>
        </w:tc>
        <w:tc>
          <w:tcPr>
            <w:tcW w:w="53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跟踪评价批复要求</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实际建设情况</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是否</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产业功能分区和产业定位未完全按原规划实施，导致除电子信息产业形成小规模集聚外，其余主导产业企业未形成产业集群；不同类别的行业企业交错混杂，大量的居民暂未拆迁安置到位，且存在部分入驻企业与产业区规划功能布局和用地规划不符等情形。原规划环评要求开发区内不可设居住用地，但规划实施过程中，区内工业用地上已建安置房，中南部区块已为密集的居民村落，现呈现“园中村”的现状。应结合怀化市国土空间规划和环境可行性结论，尽快按规定程序开展规划调整工作，通过优化空间布局、用地性质调整、引导产业集中、严格控规等措施因地制宜地调整产业区功能布局和产业布局，并按规划修编相关要求完善国土、规划、环保等相关手续，做到规范、有序和可持续发展开发区内外居住用地、生态环境敏感区与周边工业用地间应设置合理的绿化隔离防护带，强化工业企业污染防治措施，最大程度地避免对临近生态环境敏感区的不良环境影响；后续引进企业，应合理引导企业布局，确保各行业企业在其相应的规划产业片区内发展，严禁跨红线布局。</w:t>
            </w:r>
          </w:p>
        </w:tc>
        <w:tc>
          <w:tcPr>
            <w:tcW w:w="186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园区后续注意合理引导企业布局，并未在规划的工业用地上新增环境敏感目标、建设居民区；本轮规划修编重点关注敏感目标附近的规划内容，对周边规划进行控制。</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进一步严格产业环境准入。沅陵开发区后续发展与规划调整须符合开发区“三线一单”环境准入要求、长江经济带发展负面清单指南(试行)及《报告书》提出的环境准入条件和负面清单。入园企业应按照《关于加强重点行业建设项目区域削减措施监督管理的通知》等有关文件要求，依据区域环境质量改善目标，制定配套区域污染物削减方案，采取有效的污染物区域削减措施，腾出足够的环境容量。入园企业应优先考虑使用清洁能源、能耗低、技术工艺先进、清洁生产和环境管理水平高、污染防治技术成熟的企业，须严格执行环境保护“三同时”制度，确保外排污染物满足排污许可证管控要求。</w:t>
            </w:r>
          </w:p>
        </w:tc>
        <w:tc>
          <w:tcPr>
            <w:tcW w:w="186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经合适，园区目前企业符合“三线一单”环境准入要求、长江经济带发展负面清单指南(试行)、及《报告书》提出的环境准入条件和负面清单。园区目前没有采用落后、淘汰工艺、设备和技术的企业，污染物排放符合排污许可证管控要求。</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进一步落实开发区污染管控措施。完善区域雨污分流和污污分流系统、污水收集管网及集中污水处理设施建设，确保开发区废水应收尽收；开发区污水处理厂尾水现受纳水体为无名小溪，水环境容量有限，拟将排口迁至蓝溪河，但基于蓝溪河为省级重要湿地，管委会应积极推进开发区污水处理厂提质改造工作，并加快办理入河排污口论证手续。污水处理厂配套接管未完成的区域，应禁止引进水型污染企业。同时，加大现有企业环保设施运行的监督管理，确保各企业废水、预处理设施正常运行，尤其是向华电子电镀废水处理设施的监督管理。加强园区大气污染防治，加大对区内重点排污企业废气治理措施运行情况及废气无组织排放的监管，确保大气污染物达标排放，对治理设施不能有效运行的企业，采取停产措施。做好工业固体废物和生活垃圾的分类收集、转运、综合利用和无害化处理，建立完善的固废管理体系。对危险废物应严格按照国家有关规定综合利用或妥善处置，对危险废物产生企业和经营单位，应强化日常环境监管。开发区须严格落实排污许可制度和污染物排放总量控制，重点抓好企业环保手续的完善。</w:t>
            </w:r>
          </w:p>
        </w:tc>
        <w:tc>
          <w:tcPr>
            <w:tcW w:w="186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目前已落实雨污分流和污污分流系统，片区企业废水均进行了有效收集；开发区污水处理厂排污口已迁建至蓝溪河；片区各企业污水处理设施、大气污染防治措施均能有效运行；危险废物均得到妥善处置。向华电子电镀线目前处于停产状态。</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 xml:space="preserve"> </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完善开发区环境监测体系。开发区应严格落实跟踪评价提出的监测方案，鉴于区域现有纳污水体环境容量有限，后续拟将开发区污水处理厂排污口迁建至省级重要湿地合理利用示范区（蓝溪河），且距最近生态保护红线直线距离约1200m，区位生态环境敏感，应结合沅陵开发区规划的功能分区、产业布局、重点企业分布、特征污染物的排放种类和状况、环境敏感目标分布等，建立健全环境空气、地表水、地下水、土壤等环境要素的监控体系，并按《报告书》提出的要求，对相应点位(断面)开展跟踪监测。加强对开发区重点排放单位、环保投诉较多企业的监督性监测。</w:t>
            </w:r>
          </w:p>
        </w:tc>
        <w:tc>
          <w:tcPr>
            <w:tcW w:w="186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园区凉水井片区目前排污口位于蓝溪河上，已迁建完成；园区每年均按跟踪评价的要求落实了跟踪监测。目前园区企业污染排放量较小，并没有环保投诉较多的企业。</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健全开发区环境风险防控体系。加强开发区重要环境风险源管控，加强园区危险化学品储运的环境风险管理，严格落实应急响应联动机制，确保区域环境安全。</w:t>
            </w:r>
          </w:p>
        </w:tc>
        <w:tc>
          <w:tcPr>
            <w:tcW w:w="186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园区严格按应急预案的要求落实了各项风险防范措施。</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加强对环境敏感点的保护。严格做好控规，杜绝在规划的工业用地上新增环境敏感目标、建设居民区。做好商业用地、居住用地周边的规划控制，在下一轮规划调整中应从提升指导性可操作性的角度出发推动产业集中布局、降低环境影响，严格控制气型污染企业入驻，加强对现有企业的污染防治措施。按要求做好功能区及具体项目用地周边规划控制，开发区应落实移民生产生活安置措施，防止移民再次安置和次生环境问题。</w:t>
            </w:r>
          </w:p>
        </w:tc>
        <w:tc>
          <w:tcPr>
            <w:tcW w:w="18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园区后续并未在规划的工业用地上新增环境敏感目标、建设居民区；本轮规划环评对本轮规划提出了规划调整的建议，要求落实敏感区域周边规划控制。</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6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 xml:space="preserve"> </w:t>
            </w:r>
          </w:p>
        </w:tc>
        <w:tc>
          <w:tcPr>
            <w:tcW w:w="532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做好后续开发过程中生态环境保护和水土保持。尽可能保留自然水体，施工期对土石方开挖、堆存及回填要实施围挡、护坡等措施，裸露地及时恢复植被，防止后续开发建设中的扬尘污染和水土流失。</w:t>
            </w:r>
          </w:p>
        </w:tc>
        <w:tc>
          <w:tcPr>
            <w:tcW w:w="1865" w:type="dxa"/>
            <w:vAlign w:val="center"/>
          </w:tcPr>
          <w:p>
            <w:pPr>
              <w:pStyle w:val="36"/>
              <w:jc w:val="both"/>
              <w:rPr>
                <w:color w:val="000000" w:themeColor="text1"/>
                <w14:textFill>
                  <w14:solidFill>
                    <w14:schemeClr w14:val="tx1"/>
                  </w14:solidFill>
                </w14:textFill>
              </w:rPr>
            </w:pPr>
            <w:r>
              <w:rPr>
                <w:color w:val="000000" w:themeColor="text1"/>
                <w14:textFill>
                  <w14:solidFill>
                    <w14:schemeClr w14:val="tx1"/>
                  </w14:solidFill>
                </w14:textFill>
              </w:rPr>
              <w:t>园区现有企业已做好建设期的生态保护和水土保持工作，园区内未存在明显生态破坏和水土流失问题。</w:t>
            </w:r>
          </w:p>
        </w:tc>
        <w:tc>
          <w:tcPr>
            <w:tcW w:w="66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已落实</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此外，在跟踪评价报告文本中，还对园区提出了一些优化调整建议，本报告归纳总结，并调查实施情况，结果详见下表。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规划环评</w:t>
      </w:r>
      <w:r>
        <w:rPr>
          <w:rFonts w:hint="eastAsia"/>
          <w:color w:val="000000" w:themeColor="text1"/>
          <w14:textFill>
            <w14:solidFill>
              <w14:schemeClr w14:val="tx1"/>
            </w14:solidFill>
          </w14:textFill>
        </w:rPr>
        <w:t>调整建议</w:t>
      </w:r>
      <w:r>
        <w:rPr>
          <w:color w:val="000000" w:themeColor="text1"/>
          <w14:textFill>
            <w14:solidFill>
              <w14:schemeClr w14:val="tx1"/>
            </w14:solidFill>
          </w14:textFill>
        </w:rPr>
        <w:t>落实情况</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4"/>
        <w:gridCol w:w="3043"/>
        <w:gridCol w:w="2935"/>
        <w:gridCol w:w="19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554" w:type="dxa"/>
            <w:vAlign w:val="center"/>
          </w:tcPr>
          <w:p>
            <w:pPr>
              <w:pStyle w:val="36"/>
              <w:rPr>
                <w:color w:val="000000" w:themeColor="text1"/>
                <w:kern w:val="2"/>
                <w14:textFill>
                  <w14:solidFill>
                    <w14:schemeClr w14:val="tx1"/>
                  </w14:solidFill>
                </w14:textFill>
              </w:rPr>
            </w:pPr>
            <w:r>
              <w:rPr>
                <w:rFonts w:hint="eastAsia"/>
                <w:color w:val="000000" w:themeColor="text1"/>
                <w14:textFill>
                  <w14:solidFill>
                    <w14:schemeClr w14:val="tx1"/>
                  </w14:solidFill>
                </w14:textFill>
              </w:rPr>
              <w:t>序号</w:t>
            </w:r>
          </w:p>
        </w:tc>
        <w:tc>
          <w:tcPr>
            <w:tcW w:w="304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存在的问题</w:t>
            </w:r>
          </w:p>
        </w:tc>
        <w:tc>
          <w:tcPr>
            <w:tcW w:w="29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调整建议</w:t>
            </w:r>
          </w:p>
        </w:tc>
        <w:tc>
          <w:tcPr>
            <w:tcW w:w="199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实际建设情况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5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04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《中国开发区审核公告目录》（2018 年版）明确沅陵产业开发区的主导产业为新材料、电气机械、食品。从各时期规划和文件看，对本产业开发区有的只明确了主导产业，无辅助产业的界定，有的将拟发展的产业均定为主导产业，无主、辅产业之分。现产业开发区规划主导产业过多、主辅产业模糊，不利产业引导与主导产业的培育壮大。</w:t>
            </w:r>
          </w:p>
        </w:tc>
        <w:tc>
          <w:tcPr>
            <w:tcW w:w="293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由于市场及行情的变化，沅陵 </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产业开发区未能将核定的主导产业发展起来。根据沅陵产业开发区各时期的产业定位及变化，结合产业开发区已形成的产业形态，建议沅陵产业开发区的产业定位调整为：以电子信息产业为主导，以农副食品加工业和现代服务业为辅助产业。</w:t>
            </w:r>
          </w:p>
        </w:tc>
        <w:tc>
          <w:tcPr>
            <w:tcW w:w="1991"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由于官庄片区和本次麻溪铺片区纳入园区，园区主特产业进行了调整，以有色金属冶炼及压延加工产业为主导产业，以计算机、通信和其他电子设备制造业为特色产业。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5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w:t>
            </w:r>
          </w:p>
        </w:tc>
        <w:tc>
          <w:tcPr>
            <w:tcW w:w="304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园区内部分工业用地建设了安置区，中南部有大面积的居民尚未拆迁，形成了园中村的格局，尤其是向家湾居民四周都为企业，且距离很近。</w:t>
            </w:r>
          </w:p>
        </w:tc>
        <w:tc>
          <w:tcPr>
            <w:tcW w:w="293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及时开展新一轮的产业开发区规划修编，在沅陵县工业用地规划范围内通过用地调整，将园区内现有原住民居住点调整为居住用地，将安置区调出园区范围，对向家湾居民实施搬迁。并将园区西北部现有几家农副食品加工企业等符合园区产业定位的企业纳入园区范围，建议居民点与工业用地之间设置绿化防护带，使引进的轻污染或无污染型企业不对居住区造成影响。</w:t>
            </w:r>
          </w:p>
        </w:tc>
        <w:tc>
          <w:tcPr>
            <w:tcW w:w="1991"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通过调区，目前园区内居住用地已全部调出园区，园区西北部现有的农副食品企业已纳入园区范围。在规划层面，在居民点和工业用地之间设置了绿化带。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55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w:t>
            </w:r>
          </w:p>
        </w:tc>
        <w:tc>
          <w:tcPr>
            <w:tcW w:w="3043"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沅陵产业开发区已建成污水处理厂，服务范围为园区工业污水和生活污水，目前污水处理厂尾水就近排放至园区西北侧的无名小溪。</w:t>
            </w:r>
          </w:p>
        </w:tc>
        <w:tc>
          <w:tcPr>
            <w:tcW w:w="293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由于污水处理厂环评批复的排污口是在蓝溪河，目前尾水实际排放至无名小溪，属于批建不符，且无名小溪水量很小，环境容量不足以接纳污水厂尾水。目前园区污水处理厂已完成排污口改迁至蓝溪河的论证工作，并获得了省林业厅、五强溪湿地公园管理处的同意。建议污水处理厂尽快实施排污口改迁，由于新排污口位于五强溪国家湿地公园合理利用区，建议污水处理厂尽快实施提标改造，减少对湿地公园的影响。</w:t>
            </w:r>
          </w:p>
        </w:tc>
        <w:tc>
          <w:tcPr>
            <w:tcW w:w="1991"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园区排污口迁建工程已经完成；提质改造工作已进入招标阶段。</w:t>
            </w:r>
          </w:p>
        </w:tc>
      </w:tr>
    </w:tbl>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园区生态环境分区管控要求落实情况</w:t>
      </w:r>
    </w:p>
    <w:p>
      <w:pPr>
        <w:pStyle w:val="51"/>
        <w:ind w:firstLine="480"/>
        <w:rPr>
          <w:color w:val="000000" w:themeColor="text1"/>
          <w14:textFill>
            <w14:solidFill>
              <w14:schemeClr w14:val="tx1"/>
            </w14:solidFill>
          </w14:textFill>
        </w:rPr>
      </w:pPr>
      <w:r>
        <w:rPr>
          <w:rFonts w:hint="eastAsia"/>
          <w:snapToGrid/>
          <w:color w:val="000000" w:themeColor="text1"/>
          <w14:textFill>
            <w14:solidFill>
              <w14:schemeClr w14:val="tx1"/>
            </w14:solidFill>
          </w14:textFill>
        </w:rPr>
        <w:t>2</w:t>
      </w:r>
      <w:r>
        <w:rPr>
          <w:snapToGrid/>
          <w:color w:val="000000" w:themeColor="text1"/>
          <w14:textFill>
            <w14:solidFill>
              <w14:schemeClr w14:val="tx1"/>
            </w14:solidFill>
          </w14:textFill>
        </w:rPr>
        <w:t>02</w:t>
      </w:r>
      <w:r>
        <w:rPr>
          <w:rFonts w:hint="eastAsia"/>
          <w:snapToGrid/>
          <w:color w:val="000000" w:themeColor="text1"/>
          <w14:textFill>
            <w14:solidFill>
              <w14:schemeClr w14:val="tx1"/>
            </w14:solidFill>
          </w14:textFill>
        </w:rPr>
        <w:t>4年湖南省生态环境厅发布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湖南省</w:t>
      </w:r>
      <w:r>
        <w:rPr>
          <w:rFonts w:hint="eastAsia"/>
          <w:snapToGrid/>
          <w:color w:val="000000" w:themeColor="text1"/>
          <w14:textFill>
            <w14:solidFill>
              <w14:schemeClr w14:val="tx1"/>
            </w14:solidFill>
          </w14:textFill>
        </w:rPr>
        <w:t>“三线一单”生态环境总体管控要求暨省级以上产业园区生态环境准入清单</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（2023年修订）。园区</w:t>
      </w:r>
      <w:r>
        <w:rPr>
          <w:rFonts w:hint="eastAsia"/>
          <w:color w:val="000000" w:themeColor="text1"/>
          <w:lang w:val="en-US"/>
          <w14:textFill>
            <w14:solidFill>
              <w14:schemeClr w14:val="tx1"/>
            </w14:solidFill>
          </w14:textFill>
        </w:rPr>
        <w:t>现状</w:t>
      </w:r>
      <w:r>
        <w:rPr>
          <w:rFonts w:hint="eastAsia"/>
          <w:color w:val="000000" w:themeColor="text1"/>
          <w14:textFill>
            <w14:solidFill>
              <w14:schemeClr w14:val="tx1"/>
            </w14:solidFill>
          </w14:textFill>
        </w:rPr>
        <w:t>与产业园区生态环境准入清单的协调性详见下表。</w:t>
      </w:r>
    </w:p>
    <w:p>
      <w:pPr>
        <w:pStyle w:val="52"/>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与《</w:t>
      </w:r>
      <w:r>
        <w:rPr>
          <w:rFonts w:hint="eastAsia" w:cs="Times New Roman"/>
          <w:color w:val="000000" w:themeColor="text1"/>
          <w14:textFill>
            <w14:solidFill>
              <w14:schemeClr w14:val="tx1"/>
            </w14:solidFill>
          </w14:textFill>
        </w:rPr>
        <w:t>湖南省</w:t>
      </w:r>
      <w:r>
        <w:rPr>
          <w:rFonts w:hint="eastAsia"/>
          <w:snapToGrid/>
          <w:color w:val="000000" w:themeColor="text1"/>
          <w14:textFill>
            <w14:solidFill>
              <w14:schemeClr w14:val="tx1"/>
            </w14:solidFill>
          </w14:textFill>
        </w:rPr>
        <w:t>“三线一单”生态环境总体管控要求暨省级以上产业园区生态环境准入清单</w:t>
      </w:r>
      <w:r>
        <w:rPr>
          <w:rFonts w:cs="Times New Roman"/>
          <w:color w:val="000000" w:themeColor="text1"/>
          <w14:textFill>
            <w14:solidFill>
              <w14:schemeClr w14:val="tx1"/>
            </w14:solidFill>
          </w14:textFill>
        </w:rPr>
        <w:t>》的协调性一览表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3852"/>
        <w:gridCol w:w="3590"/>
        <w:gridCol w:w="65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78" w:type="dxa"/>
            <w:gridSpan w:val="2"/>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文件要求</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实际情况</w:t>
            </w:r>
          </w:p>
        </w:tc>
        <w:tc>
          <w:tcPr>
            <w:tcW w:w="65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是否</w:t>
            </w: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空间</w:t>
            </w:r>
            <w:r>
              <w:rPr>
                <w:rFonts w:hint="eastAsia"/>
                <w:color w:val="000000" w:themeColor="text1"/>
                <w14:textFill>
                  <w14:solidFill>
                    <w14:schemeClr w14:val="tx1"/>
                  </w14:solidFill>
                </w14:textFill>
              </w:rPr>
              <w:t>约束布局</w:t>
            </w: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区块一：</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（1.1）开发区内不设居住用地，开发区不新建涉三类工业用地项目</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未新建三类工业项目，开发区现设有三个安置点，用于安置开发区拆迁居民，分别为位于开发区西北面的高岩安置点、开发区东面的刘家安置点、开发区中北面的岩湾安置点，除岩湾安置点外其余已建安置点均位于核准范围内，现状安置点设置不符合“开发区内不设居住用地”要求。开发区核准范围内无三类工业用地。</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区块二：</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（1.2）开发区内不设居住用地，开发区三类工业用地边界外1km 范围内不得新建医院、学校、居民区等环境敏感目标型项目。</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开发区核准范围内无三类工业用地。</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554" w:hRule="atLeast"/>
        </w:trPr>
        <w:tc>
          <w:tcPr>
            <w:tcW w:w="426"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污染物排放管控</w:t>
            </w:r>
          </w:p>
        </w:tc>
        <w:tc>
          <w:tcPr>
            <w:tcW w:w="3852" w:type="dxa"/>
            <w:vAlign w:val="center"/>
          </w:tcPr>
          <w:p>
            <w:pPr>
              <w:pStyle w:val="36"/>
              <w:jc w:val="both"/>
              <w:rPr>
                <w:color w:val="000000" w:themeColor="text1"/>
                <w14:textFill>
                  <w14:solidFill>
                    <w14:schemeClr w14:val="tx1"/>
                  </w14:solidFill>
                </w14:textFill>
              </w:rPr>
            </w:pP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(2.1)废水：开发区实施雨污分流。</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区块一：</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(2.1.1)开发区工业质水、生活污水经开发区污水处理厂处理达标后排入蓝溪河，汇入沅江。开发区内雨水收集后排入开发区雨水管道系统，经开发区外市政雨水排水管排入蓝溪河。</w:t>
            </w:r>
          </w:p>
          <w:p>
            <w:pPr>
              <w:pStyle w:val="36"/>
              <w:jc w:val="both"/>
              <w:rPr>
                <w:color w:val="000000" w:themeColor="text1"/>
                <w14:textFill>
                  <w14:solidFill>
                    <w14:schemeClr w14:val="tx1"/>
                  </w14:solidFill>
                </w14:textFill>
              </w:rPr>
            </w:pPr>
          </w:p>
        </w:tc>
        <w:tc>
          <w:tcPr>
            <w:tcW w:w="359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雨、污水管网建设较为完善，开发区现状生活污水和生产废水均进入沅陵县产业开发区污水处理站进行处理达标后排入蓝溪河、最终汇入沅江。开发区内雨水经管网收集后排入开发区雨水管道系统，经开发区外市政雨水排水管排入蓝溪河。</w:t>
            </w:r>
          </w:p>
        </w:tc>
        <w:tc>
          <w:tcPr>
            <w:tcW w:w="655" w:type="dxa"/>
            <w:vMerge w:val="restart"/>
            <w:vAlign w:val="center"/>
          </w:tcPr>
          <w:p>
            <w:pPr>
              <w:pStyle w:val="36"/>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553"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区块二:</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(2.1.2)按排水规划，开发区内污水进入新建的工业新区污水处理厂处理达标后排入怡溪；在集中污水处理厂建成投运前，严格限制水型污染企业进入。开发区内雨水经雨水管道收集后就近排入沃溪。</w:t>
            </w:r>
          </w:p>
          <w:p>
            <w:pPr>
              <w:pStyle w:val="36"/>
              <w:jc w:val="both"/>
              <w:rPr>
                <w:color w:val="000000" w:themeColor="text1"/>
                <w14:textFill>
                  <w14:solidFill>
                    <w14:schemeClr w14:val="tx1"/>
                  </w14:solidFill>
                </w14:textFill>
              </w:rPr>
            </w:pP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开发区已严格限制水型污染企业进入。开发区排水采用雨污分流制，雨水经厂内雨水管网进入开发区雨水管网，收集后就近排入沃溪。开发区内已开发区域雨水管网已建设完善。</w:t>
            </w:r>
          </w:p>
        </w:tc>
        <w:tc>
          <w:tcPr>
            <w:tcW w:w="655" w:type="dxa"/>
            <w:vMerge w:val="continue"/>
            <w:vAlign w:val="center"/>
          </w:tcPr>
          <w:p>
            <w:pPr>
              <w:pStyle w:val="36"/>
              <w:jc w:val="left"/>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872"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(2.2)废气</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(2.2.1)加强入园企业环保管理，督促企业配套建设污染防治设施，确保废气处理后达到国家相应标准。加强生产工艺研究与技术改进，采取有效措施，减少开发区内工艺废气的无组织排放。</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开发区内现有企业的配套污染防治设施均较完善，废气经处理后均能实现达标排放。采取有效措施，减少开发区内工艺废气的无组织排放。</w:t>
            </w:r>
          </w:p>
        </w:tc>
        <w:tc>
          <w:tcPr>
            <w:tcW w:w="655"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872"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(2.2.2)实施 VOCs 原辅材料替代、VOCs 污染治理达标、氨氧化物污染治理提升、臭氧精准防控体系构建、污染源监管能力提升等重点行动，推进NO</w:t>
            </w:r>
            <w:r>
              <w:rPr>
                <w:rFonts w:hint="eastAsia"/>
                <w:color w:val="000000" w:themeColor="text1"/>
                <w:vertAlign w:val="subscript"/>
                <w14:textFill>
                  <w14:solidFill>
                    <w14:schemeClr w14:val="tx1"/>
                  </w14:solidFill>
                </w14:textFill>
              </w:rPr>
              <w:t>X</w:t>
            </w:r>
            <w:r>
              <w:rPr>
                <w:rFonts w:hint="eastAsia"/>
                <w:color w:val="000000" w:themeColor="text1"/>
                <w14:textFill>
                  <w14:solidFill>
                    <w14:schemeClr w14:val="tx1"/>
                  </w14:solidFill>
                </w14:textFill>
              </w:rPr>
              <w:t>和 VOCs 排放总量持续减少。</w:t>
            </w:r>
          </w:p>
          <w:p>
            <w:pPr>
              <w:pStyle w:val="36"/>
              <w:jc w:val="both"/>
              <w:rPr>
                <w:color w:val="000000" w:themeColor="text1"/>
                <w14:textFill>
                  <w14:solidFill>
                    <w14:schemeClr w14:val="tx1"/>
                  </w14:solidFill>
                </w14:textFill>
              </w:rPr>
            </w:pP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开发区已开展关于开发区内企业实施VOCs原辅材料替代、VOCs污染治理达标、氮氧化物污染治理提升、臭氧精准防控体系构建、污染源监管能力提升等重点行动，将继续开发区推进NO</w:t>
            </w:r>
            <w:r>
              <w:rPr>
                <w:rFonts w:hint="eastAsia"/>
                <w:color w:val="000000" w:themeColor="text1"/>
                <w:vertAlign w:val="subscript"/>
                <w14:textFill>
                  <w14:solidFill>
                    <w14:schemeClr w14:val="tx1"/>
                  </w14:solidFill>
                </w14:textFill>
              </w:rPr>
              <w:t>X</w:t>
            </w:r>
            <w:r>
              <w:rPr>
                <w:rFonts w:hint="eastAsia"/>
                <w:color w:val="000000" w:themeColor="text1"/>
                <w14:textFill>
                  <w14:solidFill>
                    <w14:schemeClr w14:val="tx1"/>
                  </w14:solidFill>
                </w14:textFill>
              </w:rPr>
              <w:t>和VOCs排放总量持续减少。</w:t>
            </w:r>
          </w:p>
        </w:tc>
        <w:tc>
          <w:tcPr>
            <w:tcW w:w="655"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872"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区块二：(2.2.3)严格控制燃煤含硫率，禁止沿用中、高硫原煤，对燃煤装置配备必要的脱硫除尘烟气净化设施，保证达标排放。</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区块内内无燃煤企业。</w:t>
            </w:r>
          </w:p>
        </w:tc>
        <w:tc>
          <w:tcPr>
            <w:tcW w:w="655" w:type="dxa"/>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(2.3)固废:做好工业固体废物和生活垃圾的分类收集、转运、综合利用和无害化处理，规范固体废物处理措施，对工业企业产生固体废物特别是危险固废应按国家有关规定综合利用或妥善处置，严防二次污染。</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内相关企业已做好工业固体废物和生活垃圾分类收集贮存、转运、综合利用和无害化处理。开发区的生活垃圾经收集后送沅陵县生活垃圾无害化处理场处置，一般工业固体废物由各企业回收利用或暂存，危险废物由企业暂存再交有资质单位回收处理。</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(2.4)开发区内有色金属行业水污染物、大气污染物排放应满足《湖南省生态环境厅关于执行污染物特别排放限值(第一批)(第二批)的公告》中的要求。</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开发区内有色金属行业水污染物、大气污染物的排放满足《湖南省生态环境厅关于执行污染物特别排放限值(第一批)(第二批)的公告》中的要求。</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环境风险防控</w:t>
            </w: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(3.1)开发区应建立健全覆盖各区块的环境风险防控体系，加强区内重要风险源管控。加强开发区危险化学品储运的环境风险管理，严格落实应急响应联动机制，确保区域环境安全。强化环境监督管理，根据沅陵产业开发区突发环境事件应急预案要求，健全环境风险事故防范措施，有计划地组织应急演练，严防环境风险事故发生。</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已建立了专职环境监督管理机构，由管委会主要领导分管环保工作，设置了环保专干人员；并于2022年3月修编了突发环境事件应急预案并备案（备案编号为43122-2022-040-G）、完善了环境风险事故防范措施，储备了环境应急物资及装备，并严格按照开发区应急预案的要求每年组织开展应急演练。</w:t>
            </w:r>
          </w:p>
          <w:p>
            <w:pPr>
              <w:pStyle w:val="36"/>
              <w:jc w:val="both"/>
              <w:rPr>
                <w:color w:val="000000" w:themeColor="text1"/>
                <w14:textFill>
                  <w14:solidFill>
                    <w14:schemeClr w14:val="tx1"/>
                  </w14:solidFill>
                </w14:textFill>
              </w:rPr>
            </w:pP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(3.2)开发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tc>
        <w:tc>
          <w:tcPr>
            <w:tcW w:w="359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开发区已督促可能发生突发环境事件的企业进行环境应急预案编制。</w:t>
            </w:r>
          </w:p>
          <w:p>
            <w:pPr>
              <w:pStyle w:val="36"/>
              <w:jc w:val="both"/>
              <w:rPr>
                <w:color w:val="000000" w:themeColor="text1"/>
                <w14:textFill>
                  <w14:solidFill>
                    <w14:schemeClr w14:val="tx1"/>
                  </w14:solidFill>
                </w14:textFill>
              </w:rPr>
            </w:pP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(3.3)建设用地土壤风险防控:加强对建设用地土壤环境状况调查、风险评估的监管</w:t>
            </w:r>
          </w:p>
        </w:tc>
        <w:tc>
          <w:tcPr>
            <w:tcW w:w="359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根据环境影响跟踪评价监测计划开展了土壤环境质量现状检测，根据相关检测结果，项目区域内建设用地土壤环境各项评价因子均满足《土壤环境质量建设用地土壤污染风险管控标准》（GB36600-2018）中表1第二类用地的标准限值要求；开发区周边农用地土壤执行《土壤环境质量农用地土壤污染风险管控标准》（试行）（GB15618-2018）中风险筛选值和管控值；开发区内未涉及污染地块。</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资源开发</w:t>
            </w:r>
            <w:r>
              <w:rPr>
                <w:rFonts w:hint="eastAsia"/>
                <w:color w:val="000000" w:themeColor="text1"/>
                <w14:textFill>
                  <w14:solidFill>
                    <w14:schemeClr w14:val="tx1"/>
                  </w14:solidFill>
                </w14:textFill>
              </w:rPr>
              <w:t>效率要求</w:t>
            </w:r>
          </w:p>
        </w:tc>
        <w:tc>
          <w:tcPr>
            <w:tcW w:w="3852" w:type="dxa"/>
            <w:vAlign w:val="center"/>
          </w:tcPr>
          <w:p>
            <w:pPr>
              <w:pStyle w:val="36"/>
              <w:jc w:val="both"/>
              <w:rPr>
                <w:color w:val="000000" w:themeColor="text1"/>
                <w14:textFill>
                  <w14:solidFill>
                    <w14:schemeClr w14:val="tx1"/>
                  </w14:solidFill>
                </w14:textFill>
              </w:rPr>
            </w:pP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(4.1)能源：完善能耗双控制度。强化能耗强度降低约束性指标管理，有效增强能源消费总量管理弹性，加强能耗双控政策与碳达峰碳中和目标任务的衔接。</w:t>
            </w:r>
          </w:p>
        </w:tc>
        <w:tc>
          <w:tcPr>
            <w:tcW w:w="359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已实施能源消耗总量和强度双控行动，建立了用能预算管理体系，编制了用能预算管理方案。并编制完成了《沅陵产业开发区区域节能报告》。开发区内企业采用电、天然气等清洁能源，完善区域内天然气供应管网、集中供热设施及管网的建设，禁止入驻企业使用燃煤、重油等非清洁能源，目前开发区内已无燃煤企业。</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(4.2)水资源</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(4.2.1)开发区强调建设节水型工业，以隆低生产成本和资源。一方面要对工业用水坚持按照定额用水，实行计划用水管理另一方面要建立循环用水体系，鼓励企业实施污水处理工程，实现循环用水，强化中水利用，提高水的重复利用率。</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(4.2.2)加强水资源管理，切实合理开发利用和节约保护水资源。到 2025 年，沅陵县用水总量控制在 19616 亿立方米以下,万元工业增加值用水量比 2020年下降 7.30%。</w:t>
            </w:r>
          </w:p>
          <w:p>
            <w:pPr>
              <w:pStyle w:val="36"/>
              <w:jc w:val="both"/>
              <w:rPr>
                <w:color w:val="000000" w:themeColor="text1"/>
                <w14:textFill>
                  <w14:solidFill>
                    <w14:schemeClr w14:val="tx1"/>
                  </w14:solidFill>
                </w14:textFill>
              </w:rPr>
            </w:pPr>
          </w:p>
        </w:tc>
        <w:tc>
          <w:tcPr>
            <w:tcW w:w="359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园区落实了节约用水的需求，未突破控制红线。</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26" w:type="dxa"/>
            <w:vMerge w:val="continue"/>
            <w:vAlign w:val="center"/>
          </w:tcPr>
          <w:p>
            <w:pPr>
              <w:pStyle w:val="36"/>
              <w:rPr>
                <w:color w:val="000000" w:themeColor="text1"/>
                <w14:textFill>
                  <w14:solidFill>
                    <w14:schemeClr w14:val="tx1"/>
                  </w14:solidFill>
                </w14:textFill>
              </w:rPr>
            </w:pPr>
          </w:p>
        </w:tc>
        <w:tc>
          <w:tcPr>
            <w:tcW w:w="385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(4.3)土地资源:在详细规划编制、用地预审与选址、用地报批、土地出让、规划许可、竣工验收等环节，全面推行工业项目建设用地引导指标和工业项目供地负面清单管理，省级产业开发区工业用地固定资产投入强度达到 220万元/亩，工业用地地均税收13万元/亩</w:t>
            </w:r>
          </w:p>
        </w:tc>
        <w:tc>
          <w:tcPr>
            <w:tcW w:w="3590"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开发区在企业详细规划编制、用地预审与选址、用地报批、土地出让、规划许可、竣工验收等环节，已全面推行工业项目建设用地引导指标和工业项目供地负面清单管理。</w:t>
            </w:r>
          </w:p>
        </w:tc>
        <w:tc>
          <w:tcPr>
            <w:tcW w:w="6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落实</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因此，开发区实际开发建设内容和本轮规划总体上能够满足生态环境分区管控的要求。</w:t>
      </w:r>
    </w:p>
    <w:p>
      <w:pPr>
        <w:pStyle w:val="30"/>
        <w:rPr>
          <w:color w:val="000000" w:themeColor="text1"/>
          <w14:textFill>
            <w14:solidFill>
              <w14:schemeClr w14:val="tx1"/>
            </w14:solidFill>
          </w14:textFill>
        </w:rPr>
      </w:pPr>
      <w:bookmarkStart w:id="20" w:name="_Toc236641274"/>
      <w:r>
        <w:rPr>
          <w:color w:val="000000" w:themeColor="text1"/>
          <w14:textFill>
            <w14:solidFill>
              <w14:schemeClr w14:val="tx1"/>
            </w14:solidFill>
          </w14:textFill>
        </w:rPr>
        <w:t>园区基础设施现状</w:t>
      </w:r>
      <w:bookmarkEnd w:id="20"/>
    </w:p>
    <w:p>
      <w:pPr>
        <w:pStyle w:val="32"/>
        <w:rPr>
          <w:color w:val="000000" w:themeColor="text1"/>
          <w14:textFill>
            <w14:solidFill>
              <w14:schemeClr w14:val="tx1"/>
            </w14:solidFill>
          </w14:textFill>
        </w:rPr>
      </w:pPr>
      <w:bookmarkStart w:id="21" w:name="_Hlk93678577"/>
      <w:r>
        <w:rPr>
          <w:rFonts w:hint="eastAsia"/>
          <w:color w:val="000000" w:themeColor="text1"/>
          <w14:textFill>
            <w14:solidFill>
              <w14:schemeClr w14:val="tx1"/>
            </w14:solidFill>
          </w14:textFill>
        </w:rPr>
        <w:t>污水工程</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沅陵产业开发区污水处理厂</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沅陵产业开发区凉水井片区建设有一座污水处理厂沅陵产业开发区污水处理厂，主要处理凉水井片区的污废水。</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污水处理厂</w:t>
      </w:r>
      <w:r>
        <w:rPr>
          <w:color w:val="000000" w:themeColor="text1"/>
          <w14:textFill>
            <w14:solidFill>
              <w14:schemeClr w14:val="tx1"/>
            </w14:solidFill>
          </w14:textFill>
        </w:rPr>
        <w:t>概况</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2015年8月20日，园区委托原怀化市环境保护科学研究所编制完成《湖南沅陵工业集中区污水处理工程环境影响报告表》；2015年8月25日，原怀化市环境保护局对该项目进行了批复（怀环审〔2015〕132号），批复项目总建设规模15000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/d，分两处建设，A站位于工业园西北角，处理规模10000m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/d，B站位于工业园西南角，处理规模5000m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湖南沅陵工业集中区污水处理工程一期工程于2016年12月投入运行，处理工艺为FMBR，处理规模为5000m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/d，2018年12月该项目一期工程通过竣工环境保护验收；湖南沅陵工业集中区污水处理二期工程于2020年5月投入运行，处理工艺为FMBR，污水处理规模为1000m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/d，2021年4月该项目二期工程通过竣工环境保护自主验收。已建成验收的一期、二期工程污水处理规模合计1500m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/d，属于批复（</w:t>
      </w:r>
      <w:r>
        <w:rPr>
          <w:color w:val="000000" w:themeColor="text1"/>
          <w14:textFill>
            <w14:solidFill>
              <w14:schemeClr w14:val="tx1"/>
            </w14:solidFill>
          </w14:textFill>
        </w:rPr>
        <w:t>怀环审〔2015〕132号</w:t>
      </w:r>
      <w:r>
        <w:rPr>
          <w:rFonts w:hint="eastAsia"/>
          <w:color w:val="000000" w:themeColor="text1"/>
          <w14:textFill>
            <w14:solidFill>
              <w14:schemeClr w14:val="tx1"/>
            </w14:solidFill>
          </w14:textFill>
        </w:rPr>
        <w:t>）中A站部分，批复中B站目前未开发建设。</w:t>
      </w:r>
      <w:r>
        <w:rPr>
          <w:rFonts w:hint="eastAsia"/>
          <w:color w:val="000000" w:themeColor="text1"/>
          <w:lang w:val="en-US"/>
          <w14:textFill>
            <w14:solidFill>
              <w14:schemeClr w14:val="tx1"/>
            </w14:solidFill>
          </w14:textFill>
        </w:rPr>
        <w:t>污水处理厂目前实际处理规模580~630m</w:t>
      </w:r>
      <w:r>
        <w:rPr>
          <w:rFonts w:hint="eastAsia"/>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/d。</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现状污水处理厂情况一览表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97"/>
        <w:gridCol w:w="1732"/>
        <w:gridCol w:w="1955"/>
        <w:gridCol w:w="20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7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w:t>
            </w:r>
          </w:p>
        </w:tc>
        <w:tc>
          <w:tcPr>
            <w:tcW w:w="173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污水处理厂性质</w:t>
            </w:r>
          </w:p>
        </w:tc>
        <w:tc>
          <w:tcPr>
            <w:tcW w:w="19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建成规模</w:t>
            </w:r>
          </w:p>
        </w:tc>
        <w:tc>
          <w:tcPr>
            <w:tcW w:w="20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实际处理规模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7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沅陵产业开发区污水处理厂</w:t>
            </w:r>
          </w:p>
        </w:tc>
        <w:tc>
          <w:tcPr>
            <w:tcW w:w="173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工业</w:t>
            </w:r>
          </w:p>
        </w:tc>
        <w:tc>
          <w:tcPr>
            <w:tcW w:w="195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0.15万m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tc>
        <w:tc>
          <w:tcPr>
            <w:tcW w:w="20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580-630m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tc>
      </w:tr>
    </w:tbl>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沅陵产业开发区污水处理厂环评及验收手续履行情况详见下表。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污水处理厂环保手续履行情况一览表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36"/>
        <w:gridCol w:w="1358"/>
        <w:gridCol w:w="1878"/>
        <w:gridCol w:w="1401"/>
        <w:gridCol w:w="282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63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项目名称</w:t>
            </w:r>
          </w:p>
        </w:tc>
        <w:tc>
          <w:tcPr>
            <w:tcW w:w="13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环评情况</w:t>
            </w:r>
          </w:p>
        </w:tc>
        <w:tc>
          <w:tcPr>
            <w:tcW w:w="187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验收情况</w:t>
            </w:r>
          </w:p>
        </w:tc>
        <w:tc>
          <w:tcPr>
            <w:tcW w:w="140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应急预案</w:t>
            </w:r>
          </w:p>
        </w:tc>
        <w:tc>
          <w:tcPr>
            <w:tcW w:w="282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排污许可情况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42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w:t>
            </w:r>
          </w:p>
        </w:tc>
        <w:tc>
          <w:tcPr>
            <w:tcW w:w="63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《湖南沅陵工业集中区污水处理工程环境影响报告表》</w:t>
            </w:r>
          </w:p>
        </w:tc>
        <w:tc>
          <w:tcPr>
            <w:tcW w:w="135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2015年8月25日，原怀化市环境保护局对该项目进行批复（怀环审</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2015</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132号）</w:t>
            </w:r>
          </w:p>
        </w:tc>
        <w:tc>
          <w:tcPr>
            <w:tcW w:w="1878"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2018年11月通过一期工程（500m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/d）阶段性验收；2021年4月通过（二期）建设项目（1000m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/d）竣工环境保护自主验收。</w:t>
            </w:r>
          </w:p>
        </w:tc>
        <w:tc>
          <w:tcPr>
            <w:tcW w:w="140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2019年</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月</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日，企业应急预案</w:t>
            </w:r>
            <w:r>
              <w:rPr>
                <w:rFonts w:hint="eastAsia"/>
                <w:color w:val="000000" w:themeColor="text1"/>
                <w14:textFill>
                  <w14:solidFill>
                    <w14:schemeClr w14:val="tx1"/>
                  </w14:solidFill>
                </w14:textFill>
              </w:rPr>
              <w:t>在</w:t>
            </w:r>
            <w:r>
              <w:rPr>
                <w:color w:val="000000" w:themeColor="text1"/>
                <w14:textFill>
                  <w14:solidFill>
                    <w14:schemeClr w14:val="tx1"/>
                  </w14:solidFill>
                </w14:textFill>
              </w:rPr>
              <w:t>怀化市生态环境局</w:t>
            </w:r>
            <w:r>
              <w:rPr>
                <w:rFonts w:hint="eastAsia"/>
                <w:color w:val="000000" w:themeColor="text1"/>
                <w14:textFill>
                  <w14:solidFill>
                    <w14:schemeClr w14:val="tx1"/>
                  </w14:solidFill>
                </w14:textFill>
              </w:rPr>
              <w:t>沅陵分局</w:t>
            </w:r>
            <w:r>
              <w:rPr>
                <w:color w:val="000000" w:themeColor="text1"/>
                <w14:textFill>
                  <w14:solidFill>
                    <w14:schemeClr w14:val="tx1"/>
                  </w14:solidFill>
                </w14:textFill>
              </w:rPr>
              <w:t>备案，备案号：431221-2019-</w:t>
            </w:r>
            <w:r>
              <w:rPr>
                <w:rFonts w:hint="eastAsia"/>
                <w:color w:val="000000" w:themeColor="text1"/>
                <w14:textFill>
                  <w14:solidFill>
                    <w14:schemeClr w14:val="tx1"/>
                  </w14:solidFill>
                </w14:textFill>
              </w:rPr>
              <w:t>004</w:t>
            </w:r>
            <w:r>
              <w:rPr>
                <w:color w:val="000000" w:themeColor="text1"/>
                <w14:textFill>
                  <w14:solidFill>
                    <w14:schemeClr w14:val="tx1"/>
                  </w14:solidFill>
                </w14:textFill>
              </w:rPr>
              <w:t>-L</w:t>
            </w:r>
            <w:r>
              <w:rPr>
                <w:rFonts w:hint="eastAsia"/>
                <w:color w:val="000000" w:themeColor="text1"/>
                <w14:textFill>
                  <w14:solidFill>
                    <w14:schemeClr w14:val="tx1"/>
                  </w14:solidFill>
                </w14:textFill>
              </w:rPr>
              <w:t>，暂未修编</w:t>
            </w:r>
            <w:r>
              <w:rPr>
                <w:color w:val="000000" w:themeColor="text1"/>
                <w14:textFill>
                  <w14:solidFill>
                    <w14:schemeClr w14:val="tx1"/>
                  </w14:solidFill>
                </w14:textFill>
              </w:rPr>
              <w:t>。</w:t>
            </w:r>
          </w:p>
        </w:tc>
        <w:tc>
          <w:tcPr>
            <w:tcW w:w="2824"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排污许可为重点管理，排污许可证编号91431222694036226F001R。</w:t>
            </w:r>
          </w:p>
        </w:tc>
      </w:tr>
    </w:tbl>
    <w:p>
      <w:pPr>
        <w:pStyle w:val="36"/>
        <w:rPr>
          <w:color w:val="000000" w:themeColor="text1"/>
          <w14:textFill>
            <w14:solidFill>
              <w14:schemeClr w14:val="tx1"/>
            </w14:solidFill>
          </w14:textFill>
        </w:rPr>
      </w:pPr>
    </w:p>
    <w:p>
      <w:pPr>
        <w:pStyle w:val="51"/>
        <w:ind w:firstLine="480"/>
        <w:jc w:val="center"/>
        <w:rPr>
          <w:color w:val="000000" w:themeColor="text1"/>
          <w14:textFill>
            <w14:solidFill>
              <w14:schemeClr w14:val="tx1"/>
            </w14:solidFill>
          </w14:textFill>
        </w:rPr>
      </w:pPr>
      <w:r>
        <w:rPr>
          <w:color w:val="000000" w:themeColor="text1"/>
          <w:lang w:val="en-US"/>
          <w14:textFill>
            <w14:solidFill>
              <w14:schemeClr w14:val="tx1"/>
            </w14:solidFill>
          </w14:textFill>
        </w:rPr>
        <w:drawing>
          <wp:inline distT="0" distB="0" distL="114300" distR="114300">
            <wp:extent cx="4690745" cy="3519170"/>
            <wp:effectExtent l="0" t="0" r="0" b="5080"/>
            <wp:docPr id="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0"/>
                    <pic:cNvPicPr>
                      <a:picLocks noChangeAspect="1"/>
                    </pic:cNvPicPr>
                  </pic:nvPicPr>
                  <pic:blipFill>
                    <a:blip r:embed="rId14"/>
                    <a:stretch>
                      <a:fillRect/>
                    </a:stretch>
                  </pic:blipFill>
                  <pic:spPr>
                    <a:xfrm>
                      <a:off x="0" y="0"/>
                      <a:ext cx="4707916" cy="3532136"/>
                    </a:xfrm>
                    <a:prstGeom prst="rect">
                      <a:avLst/>
                    </a:prstGeom>
                    <a:noFill/>
                    <a:ln>
                      <a:noFill/>
                    </a:ln>
                  </pic:spPr>
                </pic:pic>
              </a:graphicData>
            </a:graphic>
          </wp:inline>
        </w:drawing>
      </w:r>
    </w:p>
    <w:p>
      <w:pPr>
        <w:pStyle w:val="54"/>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污水处理厂航拍图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服务范围</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沅陵产业开发区污水处理厂现状</w:t>
      </w:r>
      <w:r>
        <w:rPr>
          <w:rFonts w:hint="eastAsia"/>
          <w:color w:val="000000" w:themeColor="text1"/>
          <w:lang w:val="en-US"/>
          <w14:textFill>
            <w14:solidFill>
              <w14:schemeClr w14:val="tx1"/>
            </w14:solidFill>
          </w14:textFill>
        </w:rPr>
        <w:t>服务</w:t>
      </w:r>
      <w:r>
        <w:rPr>
          <w:color w:val="000000" w:themeColor="text1"/>
          <w:lang w:val="en-US"/>
          <w14:textFill>
            <w14:solidFill>
              <w14:schemeClr w14:val="tx1"/>
            </w14:solidFill>
          </w14:textFill>
        </w:rPr>
        <w:t>范围为沅陵产业开发区</w:t>
      </w:r>
      <w:r>
        <w:rPr>
          <w:rFonts w:hint="eastAsia"/>
          <w:color w:val="000000" w:themeColor="text1"/>
          <w:lang w:val="en-US"/>
          <w14:textFill>
            <w14:solidFill>
              <w14:schemeClr w14:val="tx1"/>
            </w14:solidFill>
          </w14:textFill>
        </w:rPr>
        <w:t>凉水井片区</w:t>
      </w:r>
      <w:r>
        <w:rPr>
          <w:color w:val="000000" w:themeColor="text1"/>
          <w:lang w:val="en-US"/>
          <w14:textFill>
            <w14:solidFill>
              <w14:schemeClr w14:val="tx1"/>
            </w14:solidFill>
          </w14:textFill>
        </w:rPr>
        <w:t>；园区污现状污水管网</w:t>
      </w:r>
      <w:r>
        <w:rPr>
          <w:rFonts w:hint="eastAsia"/>
          <w:color w:val="000000" w:themeColor="text1"/>
          <w:lang w:val="en-US"/>
          <w14:textFill>
            <w14:solidFill>
              <w14:schemeClr w14:val="tx1"/>
            </w14:solidFill>
          </w14:textFill>
        </w:rPr>
        <w:t>约</w:t>
      </w:r>
      <w:r>
        <w:rPr>
          <w:color w:val="000000" w:themeColor="text1"/>
          <w:lang w:val="en-US"/>
          <w14:textFill>
            <w14:solidFill>
              <w14:schemeClr w14:val="tx1"/>
            </w14:solidFill>
          </w14:textFill>
        </w:rPr>
        <w:t>5.67公里，收集园区生活污水及工业废水后接至污水处理厂</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经处理达到《城镇污水处理厂污染物排放标准》（GB18918-2002）中规定的一级B标准，经专用管道排至</w:t>
      </w:r>
      <w:r>
        <w:rPr>
          <w:rFonts w:hint="eastAsia"/>
          <w:color w:val="000000" w:themeColor="text1"/>
          <w:lang w:val="en-US"/>
          <w14:textFill>
            <w14:solidFill>
              <w14:schemeClr w14:val="tx1"/>
            </w14:solidFill>
          </w14:textFill>
        </w:rPr>
        <w:t>兰溪</w:t>
      </w:r>
      <w:r>
        <w:rPr>
          <w:color w:val="000000" w:themeColor="text1"/>
          <w:lang w:val="en-US"/>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（3）处理工艺及进出水水质</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污水处理采用兼氧FMBR工艺（核心元件为膜生物反应器），处理工艺流程图见下图。</w:t>
      </w:r>
    </w:p>
    <w:p>
      <w:pPr>
        <w:pStyle w:val="51"/>
        <w:ind w:firstLine="0" w:firstLineChars="0"/>
        <w:jc w:val="center"/>
        <w:rPr>
          <w:color w:val="000000" w:themeColor="text1"/>
          <w14:textFill>
            <w14:solidFill>
              <w14:schemeClr w14:val="tx1"/>
            </w14:solidFill>
          </w14:textFill>
        </w:rPr>
      </w:pPr>
      <w:r>
        <w:rPr>
          <w:color w:val="000000" w:themeColor="text1"/>
          <w:lang w:val="en-US"/>
          <w14:textFill>
            <w14:solidFill>
              <w14:schemeClr w14:val="tx1"/>
            </w14:solidFill>
          </w14:textFill>
        </w:rPr>
        <w:drawing>
          <wp:inline distT="0" distB="0" distL="114300" distR="114300">
            <wp:extent cx="4176395" cy="4128135"/>
            <wp:effectExtent l="0" t="0" r="0" b="5715"/>
            <wp:docPr id="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pic:cNvPicPr>
                      <a:picLocks noChangeAspect="1"/>
                    </pic:cNvPicPr>
                  </pic:nvPicPr>
                  <pic:blipFill>
                    <a:blip r:embed="rId15"/>
                    <a:stretch>
                      <a:fillRect/>
                    </a:stretch>
                  </pic:blipFill>
                  <pic:spPr>
                    <a:xfrm>
                      <a:off x="0" y="0"/>
                      <a:ext cx="4192072" cy="4143456"/>
                    </a:xfrm>
                    <a:prstGeom prst="rect">
                      <a:avLst/>
                    </a:prstGeom>
                    <a:noFill/>
                    <a:ln>
                      <a:noFill/>
                    </a:ln>
                  </pic:spPr>
                </pic:pic>
              </a:graphicData>
            </a:graphic>
          </wp:inline>
        </w:drawing>
      </w:r>
    </w:p>
    <w:p>
      <w:pPr>
        <w:pStyle w:val="54"/>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污水处理厂工艺流程图</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兼氧FMBR（Facultative Membrane Bio-Reactor）是一种将兼性厌氧生物处理与膜分离技术耦合的新型污水处理工艺。其核心在于通过控制溶解氧梯度，在单一反应器内实现 "缺氧-兼氧-好氧" 的协同作用，同步去除有机物、氮、磷等污染物。</w:t>
      </w:r>
    </w:p>
    <w:tbl>
      <w:tblPr>
        <w:tblStyle w:val="40"/>
        <w:tblW w:w="929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36"/>
        <w:gridCol w:w="445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22" w:name="_Toc23761"/>
            <w:r>
              <w:rPr>
                <w:color w:val="000000" w:themeColor="text1"/>
                <w14:textFill>
                  <w14:solidFill>
                    <w14:schemeClr w14:val="tx1"/>
                  </w14:solidFill>
                </w14:textFill>
              </w:rPr>
              <w:drawing>
                <wp:inline distT="0" distB="0" distL="0" distR="0">
                  <wp:extent cx="2752725" cy="2028825"/>
                  <wp:effectExtent l="0" t="0" r="9525" b="9525"/>
                  <wp:docPr id="90298786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87862" name="图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752725" cy="2028825"/>
                          </a:xfrm>
                          <a:prstGeom prst="rect">
                            <a:avLst/>
                          </a:prstGeom>
                          <a:noFill/>
                          <a:ln>
                            <a:noFill/>
                          </a:ln>
                        </pic:spPr>
                      </pic:pic>
                    </a:graphicData>
                  </a:graphic>
                </wp:inline>
              </w:drawing>
            </w:r>
            <w:bookmarkEnd w:id="22"/>
          </w:p>
        </w:tc>
        <w:tc>
          <w:tcPr>
            <w:tcW w:w="4456" w:type="dxa"/>
            <w:vAlign w:val="center"/>
          </w:tcPr>
          <w:p>
            <w:pPr>
              <w:pStyle w:val="36"/>
              <w:rPr>
                <w:color w:val="000000" w:themeColor="text1"/>
                <w14:textFill>
                  <w14:solidFill>
                    <w14:schemeClr w14:val="tx1"/>
                  </w14:solidFill>
                </w14:textFill>
              </w:rPr>
            </w:pPr>
            <w:bookmarkStart w:id="23" w:name="_Toc30333"/>
            <w:r>
              <w:rPr>
                <w:color w:val="000000" w:themeColor="text1"/>
                <w14:textFill>
                  <w14:solidFill>
                    <w14:schemeClr w14:val="tx1"/>
                  </w14:solidFill>
                </w14:textFill>
              </w:rPr>
              <w:drawing>
                <wp:inline distT="0" distB="0" distL="0" distR="0">
                  <wp:extent cx="2171700" cy="1971675"/>
                  <wp:effectExtent l="0" t="0" r="0" b="9525"/>
                  <wp:docPr id="17579431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43136" name="图片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171700" cy="1971675"/>
                          </a:xfrm>
                          <a:prstGeom prst="rect">
                            <a:avLst/>
                          </a:prstGeom>
                          <a:noFill/>
                          <a:ln>
                            <a:noFill/>
                          </a:ln>
                        </pic:spPr>
                      </pic:pic>
                    </a:graphicData>
                  </a:graphic>
                </wp:inline>
              </w:drawing>
            </w:r>
            <w:bookmarkEnd w:id="23"/>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24" w:name="_Toc26946"/>
            <w:r>
              <w:rPr>
                <w:color w:val="000000" w:themeColor="text1"/>
                <w14:textFill>
                  <w14:solidFill>
                    <w14:schemeClr w14:val="tx1"/>
                  </w14:solidFill>
                </w14:textFill>
              </w:rPr>
              <w:t>兼氧FMBR设备</w:t>
            </w:r>
            <w:bookmarkEnd w:id="24"/>
          </w:p>
        </w:tc>
        <w:tc>
          <w:tcPr>
            <w:tcW w:w="4456" w:type="dxa"/>
            <w:vAlign w:val="center"/>
          </w:tcPr>
          <w:p>
            <w:pPr>
              <w:pStyle w:val="36"/>
              <w:rPr>
                <w:color w:val="000000" w:themeColor="text1"/>
                <w14:textFill>
                  <w14:solidFill>
                    <w14:schemeClr w14:val="tx1"/>
                  </w14:solidFill>
                </w14:textFill>
              </w:rPr>
            </w:pPr>
            <w:bookmarkStart w:id="25" w:name="_Toc27083"/>
            <w:r>
              <w:rPr>
                <w:color w:val="000000" w:themeColor="text1"/>
                <w14:textFill>
                  <w14:solidFill>
                    <w14:schemeClr w14:val="tx1"/>
                  </w14:solidFill>
                </w14:textFill>
              </w:rPr>
              <w:t>格栅池</w:t>
            </w:r>
            <w:bookmarkEnd w:id="25"/>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26" w:name="_Toc21786"/>
            <w:r>
              <w:rPr>
                <w:color w:val="000000" w:themeColor="text1"/>
                <w14:textFill>
                  <w14:solidFill>
                    <w14:schemeClr w14:val="tx1"/>
                  </w14:solidFill>
                </w14:textFill>
              </w:rPr>
              <w:drawing>
                <wp:inline distT="0" distB="0" distL="0" distR="0">
                  <wp:extent cx="2619375" cy="2476500"/>
                  <wp:effectExtent l="0" t="0" r="9525" b="0"/>
                  <wp:docPr id="828786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8624"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19375" cy="2476500"/>
                          </a:xfrm>
                          <a:prstGeom prst="rect">
                            <a:avLst/>
                          </a:prstGeom>
                          <a:noFill/>
                          <a:ln>
                            <a:noFill/>
                          </a:ln>
                        </pic:spPr>
                      </pic:pic>
                    </a:graphicData>
                  </a:graphic>
                </wp:inline>
              </w:drawing>
            </w:r>
            <w:bookmarkEnd w:id="26"/>
          </w:p>
        </w:tc>
        <w:tc>
          <w:tcPr>
            <w:tcW w:w="4456" w:type="dxa"/>
            <w:vAlign w:val="center"/>
          </w:tcPr>
          <w:p>
            <w:pPr>
              <w:pStyle w:val="36"/>
              <w:rPr>
                <w:color w:val="000000" w:themeColor="text1"/>
                <w14:textFill>
                  <w14:solidFill>
                    <w14:schemeClr w14:val="tx1"/>
                  </w14:solidFill>
                </w14:textFill>
              </w:rPr>
            </w:pPr>
            <w:bookmarkStart w:id="27" w:name="_Toc9755"/>
            <w:r>
              <w:rPr>
                <w:color w:val="000000" w:themeColor="text1"/>
                <w14:textFill>
                  <w14:solidFill>
                    <w14:schemeClr w14:val="tx1"/>
                  </w14:solidFill>
                </w14:textFill>
              </w:rPr>
              <w:drawing>
                <wp:inline distT="0" distB="0" distL="0" distR="0">
                  <wp:extent cx="2533650" cy="2447925"/>
                  <wp:effectExtent l="0" t="0" r="0" b="9525"/>
                  <wp:docPr id="21117591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59127" name="图片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33650" cy="2447925"/>
                          </a:xfrm>
                          <a:prstGeom prst="rect">
                            <a:avLst/>
                          </a:prstGeom>
                          <a:noFill/>
                          <a:ln>
                            <a:noFill/>
                          </a:ln>
                        </pic:spPr>
                      </pic:pic>
                    </a:graphicData>
                  </a:graphic>
                </wp:inline>
              </w:drawing>
            </w:r>
            <w:bookmarkEnd w:id="27"/>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28" w:name="_Toc11576"/>
            <w:r>
              <w:rPr>
                <w:color w:val="000000" w:themeColor="text1"/>
                <w14:textFill>
                  <w14:solidFill>
                    <w14:schemeClr w14:val="tx1"/>
                  </w14:solidFill>
                </w14:textFill>
              </w:rPr>
              <w:t>废水排放口</w:t>
            </w:r>
            <w:bookmarkEnd w:id="28"/>
          </w:p>
        </w:tc>
        <w:tc>
          <w:tcPr>
            <w:tcW w:w="4456" w:type="dxa"/>
            <w:vAlign w:val="center"/>
          </w:tcPr>
          <w:p>
            <w:pPr>
              <w:pStyle w:val="36"/>
              <w:rPr>
                <w:color w:val="000000" w:themeColor="text1"/>
                <w14:textFill>
                  <w14:solidFill>
                    <w14:schemeClr w14:val="tx1"/>
                  </w14:solidFill>
                </w14:textFill>
              </w:rPr>
            </w:pPr>
            <w:bookmarkStart w:id="29" w:name="_Toc20657"/>
            <w:r>
              <w:rPr>
                <w:color w:val="000000" w:themeColor="text1"/>
                <w14:textFill>
                  <w14:solidFill>
                    <w14:schemeClr w14:val="tx1"/>
                  </w14:solidFill>
                </w14:textFill>
              </w:rPr>
              <w:t>清水池</w:t>
            </w:r>
            <w:bookmarkEnd w:id="29"/>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30" w:name="_Toc1606"/>
            <w:r>
              <w:rPr>
                <w:color w:val="000000" w:themeColor="text1"/>
                <w14:textFill>
                  <w14:solidFill>
                    <w14:schemeClr w14:val="tx1"/>
                  </w14:solidFill>
                </w14:textFill>
              </w:rPr>
              <w:drawing>
                <wp:inline distT="0" distB="0" distL="0" distR="0">
                  <wp:extent cx="2933700" cy="2200275"/>
                  <wp:effectExtent l="0" t="0" r="0" b="9525"/>
                  <wp:docPr id="103083189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31899" name="图片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933700" cy="2200275"/>
                          </a:xfrm>
                          <a:prstGeom prst="rect">
                            <a:avLst/>
                          </a:prstGeom>
                          <a:noFill/>
                          <a:ln>
                            <a:noFill/>
                          </a:ln>
                        </pic:spPr>
                      </pic:pic>
                    </a:graphicData>
                  </a:graphic>
                </wp:inline>
              </w:drawing>
            </w:r>
            <w:bookmarkEnd w:id="30"/>
          </w:p>
        </w:tc>
        <w:tc>
          <w:tcPr>
            <w:tcW w:w="4456" w:type="dxa"/>
            <w:vAlign w:val="center"/>
          </w:tcPr>
          <w:p>
            <w:pPr>
              <w:pStyle w:val="36"/>
              <w:rPr>
                <w:color w:val="000000" w:themeColor="text1"/>
                <w14:textFill>
                  <w14:solidFill>
                    <w14:schemeClr w14:val="tx1"/>
                  </w14:solidFill>
                </w14:textFill>
              </w:rPr>
            </w:pPr>
            <w:bookmarkStart w:id="31" w:name="_Toc26167"/>
            <w:r>
              <w:rPr>
                <w:color w:val="000000" w:themeColor="text1"/>
                <w14:textFill>
                  <w14:solidFill>
                    <w14:schemeClr w14:val="tx1"/>
                  </w14:solidFill>
                </w14:textFill>
              </w:rPr>
              <w:drawing>
                <wp:inline distT="0" distB="0" distL="0" distR="0">
                  <wp:extent cx="2933700" cy="2200275"/>
                  <wp:effectExtent l="0" t="0" r="0" b="9525"/>
                  <wp:docPr id="8221012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01236"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933700" cy="2200275"/>
                          </a:xfrm>
                          <a:prstGeom prst="rect">
                            <a:avLst/>
                          </a:prstGeom>
                          <a:noFill/>
                          <a:ln>
                            <a:noFill/>
                          </a:ln>
                        </pic:spPr>
                      </pic:pic>
                    </a:graphicData>
                  </a:graphic>
                </wp:inline>
              </w:drawing>
            </w:r>
            <w:bookmarkEnd w:id="31"/>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836" w:type="dxa"/>
            <w:vAlign w:val="center"/>
          </w:tcPr>
          <w:p>
            <w:pPr>
              <w:pStyle w:val="36"/>
              <w:rPr>
                <w:color w:val="000000" w:themeColor="text1"/>
                <w14:textFill>
                  <w14:solidFill>
                    <w14:schemeClr w14:val="tx1"/>
                  </w14:solidFill>
                </w14:textFill>
              </w:rPr>
            </w:pPr>
            <w:bookmarkStart w:id="32" w:name="_Toc25159"/>
            <w:r>
              <w:rPr>
                <w:color w:val="000000" w:themeColor="text1"/>
                <w14:textFill>
                  <w14:solidFill>
                    <w14:schemeClr w14:val="tx1"/>
                  </w14:solidFill>
                </w14:textFill>
              </w:rPr>
              <w:t>废水进口在线监测设施</w:t>
            </w:r>
            <w:bookmarkEnd w:id="32"/>
          </w:p>
        </w:tc>
        <w:tc>
          <w:tcPr>
            <w:tcW w:w="4456" w:type="dxa"/>
            <w:vAlign w:val="center"/>
          </w:tcPr>
          <w:p>
            <w:pPr>
              <w:pStyle w:val="36"/>
              <w:rPr>
                <w:color w:val="000000" w:themeColor="text1"/>
                <w14:textFill>
                  <w14:solidFill>
                    <w14:schemeClr w14:val="tx1"/>
                  </w14:solidFill>
                </w14:textFill>
              </w:rPr>
            </w:pPr>
            <w:bookmarkStart w:id="33" w:name="_Toc155"/>
            <w:r>
              <w:rPr>
                <w:color w:val="000000" w:themeColor="text1"/>
                <w14:textFill>
                  <w14:solidFill>
                    <w14:schemeClr w14:val="tx1"/>
                  </w14:solidFill>
                </w14:textFill>
              </w:rPr>
              <w:t>废水出口在线监测设施</w:t>
            </w:r>
            <w:bookmarkEnd w:id="33"/>
          </w:p>
        </w:tc>
      </w:tr>
    </w:tbl>
    <w:p>
      <w:pPr>
        <w:pStyle w:val="54"/>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污水处理厂现场照片</w:t>
      </w:r>
    </w:p>
    <w:p>
      <w:pPr>
        <w:pStyle w:val="51"/>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污水处理厂进出水水质详见下表。</w:t>
      </w:r>
    </w:p>
    <w:p>
      <w:pPr>
        <w:pStyle w:val="51"/>
        <w:ind w:firstLine="480"/>
        <w:rPr>
          <w:rFonts w:hint="eastAsia"/>
          <w:color w:val="000000" w:themeColor="text1"/>
          <w14:textFill>
            <w14:solidFill>
              <w14:schemeClr w14:val="tx1"/>
            </w14:solidFill>
          </w14:textFill>
        </w:rPr>
      </w:pP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污水处理厂设计进出水水质一览表</w:t>
      </w:r>
    </w:p>
    <w:tbl>
      <w:tblPr>
        <w:tblStyle w:val="40"/>
        <w:tblW w:w="851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215"/>
        <w:gridCol w:w="1192"/>
        <w:gridCol w:w="1263"/>
        <w:gridCol w:w="1415"/>
        <w:gridCol w:w="1149"/>
        <w:gridCol w:w="118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9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tc>
        <w:tc>
          <w:tcPr>
            <w:tcW w:w="12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COD</w:t>
            </w:r>
          </w:p>
        </w:tc>
        <w:tc>
          <w:tcPr>
            <w:tcW w:w="11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BOD</w:t>
            </w:r>
          </w:p>
        </w:tc>
        <w:tc>
          <w:tcPr>
            <w:tcW w:w="12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SS</w:t>
            </w:r>
          </w:p>
        </w:tc>
        <w:tc>
          <w:tcPr>
            <w:tcW w:w="14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NH</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-N</w:t>
            </w:r>
          </w:p>
        </w:tc>
        <w:tc>
          <w:tcPr>
            <w:tcW w:w="11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TN</w:t>
            </w:r>
          </w:p>
        </w:tc>
        <w:tc>
          <w:tcPr>
            <w:tcW w:w="11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TP</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9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进水</w:t>
            </w:r>
          </w:p>
        </w:tc>
        <w:tc>
          <w:tcPr>
            <w:tcW w:w="12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260</w:t>
            </w:r>
          </w:p>
        </w:tc>
        <w:tc>
          <w:tcPr>
            <w:tcW w:w="11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110</w:t>
            </w:r>
          </w:p>
        </w:tc>
        <w:tc>
          <w:tcPr>
            <w:tcW w:w="12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250</w:t>
            </w:r>
          </w:p>
        </w:tc>
        <w:tc>
          <w:tcPr>
            <w:tcW w:w="14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25</w:t>
            </w:r>
          </w:p>
        </w:tc>
        <w:tc>
          <w:tcPr>
            <w:tcW w:w="11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35</w:t>
            </w:r>
          </w:p>
        </w:tc>
        <w:tc>
          <w:tcPr>
            <w:tcW w:w="11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94"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出水</w:t>
            </w:r>
          </w:p>
        </w:tc>
        <w:tc>
          <w:tcPr>
            <w:tcW w:w="12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≤60</w:t>
            </w:r>
          </w:p>
        </w:tc>
        <w:tc>
          <w:tcPr>
            <w:tcW w:w="11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12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141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≤15（8）</w:t>
            </w:r>
          </w:p>
        </w:tc>
        <w:tc>
          <w:tcPr>
            <w:tcW w:w="114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1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bl>
    <w:p>
      <w:pPr>
        <w:pStyle w:val="51"/>
        <w:ind w:firstLine="480"/>
        <w:rPr>
          <w:color w:val="000000" w:themeColor="text1"/>
          <w14:textFill>
            <w14:solidFill>
              <w14:schemeClr w14:val="tx1"/>
            </w14:solidFill>
          </w14:textFill>
        </w:rPr>
      </w:pPr>
      <w:r>
        <w:rPr>
          <w:rFonts w:hint="eastAsia" w:ascii="宋体" w:hAnsi="宋体" w:cs="宋体"/>
          <w:color w:val="000000" w:themeColor="text1"/>
          <w:shd w:val="clear" w:color="auto" w:fill="FFFFFF"/>
          <w14:textFill>
            <w14:solidFill>
              <w14:schemeClr w14:val="tx1"/>
            </w14:solidFill>
          </w14:textFill>
        </w:rPr>
        <w:t>①</w:t>
      </w:r>
      <w:r>
        <w:rPr>
          <w:color w:val="000000" w:themeColor="text1"/>
          <w:shd w:val="clear" w:color="auto" w:fill="FFFFFF"/>
          <w14:textFill>
            <w14:solidFill>
              <w14:schemeClr w14:val="tx1"/>
            </w14:solidFill>
          </w14:textFill>
        </w:rPr>
        <w:t>排污口手续：</w:t>
      </w:r>
      <w:r>
        <w:rPr>
          <w:rFonts w:hint="eastAsia"/>
          <w:color w:val="000000" w:themeColor="text1"/>
          <w:shd w:val="clear" w:color="auto" w:fill="FFFFFF"/>
          <w:lang w:val="en-US"/>
          <w14:textFill>
            <w14:solidFill>
              <w14:schemeClr w14:val="tx1"/>
            </w14:solidFill>
          </w14:textFill>
        </w:rPr>
        <w:t>怀化市生态环境局沅陵分局于2021年以《关于沅陵产业开发区湖南(沅陵)台湾工业园污水处理工程入河排污口设置的批复》（沅环函</w:t>
      </w:r>
      <w:r>
        <w:rPr>
          <w:rFonts w:hint="eastAsia"/>
          <w:color w:val="000000" w:themeColor="text1"/>
          <w:lang w:val="en-US"/>
          <w14:textFill>
            <w14:solidFill>
              <w14:schemeClr w14:val="tx1"/>
            </w14:solidFill>
          </w14:textFill>
        </w:rPr>
        <w:t>〔2021〕57</w:t>
      </w:r>
      <w:r>
        <w:rPr>
          <w:rFonts w:hint="eastAsia"/>
          <w:color w:val="000000" w:themeColor="text1"/>
          <w:shd w:val="clear" w:color="auto" w:fill="FFFFFF"/>
          <w:lang w:val="en-US"/>
          <w14:textFill>
            <w14:solidFill>
              <w14:schemeClr w14:val="tx1"/>
            </w14:solidFill>
          </w14:textFill>
        </w:rPr>
        <w:t>号）</w:t>
      </w:r>
      <w:r>
        <w:rPr>
          <w:rFonts w:hint="eastAsia"/>
          <w:color w:val="000000" w:themeColor="text1"/>
          <w:shd w:val="clear" w:color="auto" w:fill="FFFFFF"/>
          <w14:textFill>
            <w14:solidFill>
              <w14:schemeClr w14:val="tx1"/>
            </w14:solidFill>
          </w14:textFill>
        </w:rPr>
        <w:t>对污水处理厂</w:t>
      </w:r>
      <w:r>
        <w:rPr>
          <w:color w:val="000000" w:themeColor="text1"/>
          <w14:textFill>
            <w14:solidFill>
              <w14:schemeClr w14:val="tx1"/>
            </w14:solidFill>
          </w14:textFill>
        </w:rPr>
        <w:t>入河排污口进行许可</w:t>
      </w:r>
      <w:r>
        <w:rPr>
          <w:rFonts w:hint="eastAsia"/>
          <w:color w:val="000000" w:themeColor="text1"/>
          <w14:textFill>
            <w14:solidFill>
              <w14:schemeClr w14:val="tx1"/>
            </w14:solidFill>
          </w14:textFill>
        </w:rPr>
        <w:t>，许可排放规模为</w:t>
      </w:r>
      <w:r>
        <w:rPr>
          <w:rFonts w:hint="eastAsia"/>
          <w:color w:val="000000" w:themeColor="text1"/>
          <w:lang w:val="en-US"/>
          <w14:textFill>
            <w14:solidFill>
              <w14:schemeClr w14:val="tx1"/>
            </w14:solidFill>
          </w14:textFill>
        </w:rPr>
        <w:t>1.5</w:t>
      </w:r>
      <w:r>
        <w:rPr>
          <w:rFonts w:hint="eastAsia"/>
          <w:color w:val="000000" w:themeColor="text1"/>
          <w14:textFill>
            <w14:solidFill>
              <w14:schemeClr w14:val="tx1"/>
            </w14:solidFill>
          </w14:textFill>
        </w:rPr>
        <w:t>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②自动监控系统验收备案：</w:t>
      </w:r>
      <w:r>
        <w:rPr>
          <w:rFonts w:hint="eastAsia"/>
          <w:color w:val="000000" w:themeColor="text1"/>
          <w:lang w:val="en-US"/>
          <w14:textFill>
            <w14:solidFill>
              <w14:schemeClr w14:val="tx1"/>
            </w14:solidFill>
          </w14:textFill>
        </w:rPr>
        <w:t>2018年9月、2021年5月、2022年7月，企业分批次对</w:t>
      </w:r>
      <w:r>
        <w:rPr>
          <w:rFonts w:hint="eastAsia"/>
          <w:color w:val="000000" w:themeColor="text1"/>
          <w14:textFill>
            <w14:solidFill>
              <w14:schemeClr w14:val="tx1"/>
            </w14:solidFill>
          </w14:textFill>
        </w:rPr>
        <w:t>水质在线污染源监测系统进行了</w:t>
      </w:r>
      <w:r>
        <w:rPr>
          <w:rFonts w:hint="eastAsia"/>
          <w:color w:val="000000" w:themeColor="text1"/>
          <w:lang w:val="en-US"/>
          <w14:textFill>
            <w14:solidFill>
              <w14:schemeClr w14:val="tx1"/>
            </w14:solidFill>
          </w14:textFill>
        </w:rPr>
        <w:t>备案登记</w:t>
      </w:r>
      <w:r>
        <w:rPr>
          <w:rFonts w:hint="eastAsia"/>
          <w:color w:val="000000" w:themeColor="text1"/>
          <w14:textFill>
            <w14:solidFill>
              <w14:schemeClr w14:val="tx1"/>
            </w14:solidFill>
          </w14:textFill>
        </w:rPr>
        <w:t>。</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③排污许可：企业已申领排污许可证，证号91431222694036226F001R，现有效期自2022年08月28日至2027年08月27日止。</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麻溪铺镇污水处理厂</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本次新扩入的麻溪铺片区企业目前生活废水经化粪池处理后排入小溪；本轮规划进入麻溪铺镇污水收集管网，由麻溪铺污水处理厂处理后排放。本次规划环评对麻溪铺镇污水处理厂开展调查。</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麻溪铺镇污水处理厂位于麻溪铺集镇的北部，分两期建设，近期处理规模350m</w:t>
      </w:r>
      <w:r>
        <w:rPr>
          <w:rFonts w:hint="eastAsia"/>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/d，远期处理规模750m</w:t>
      </w:r>
      <w:r>
        <w:rPr>
          <w:rFonts w:hint="eastAsia"/>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/d，主要收集麻溪铺集镇的居民生活污水。污水处理厂采用A/O+填料工艺，设计进出水水质详见下表，出水水质执行《城镇污水处理厂污染物排放标准》（GB18918-2002）一级B标准。</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麻溪铺镇污水处理厂设计进出水水质</w:t>
      </w:r>
    </w:p>
    <w:tbl>
      <w:tblPr>
        <w:tblStyle w:val="17"/>
        <w:tblW w:w="830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200"/>
        <w:gridCol w:w="1028"/>
        <w:gridCol w:w="949"/>
        <w:gridCol w:w="925"/>
        <w:gridCol w:w="852"/>
        <w:gridCol w:w="852"/>
        <w:gridCol w:w="792"/>
        <w:gridCol w:w="70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2200"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类型</w:t>
            </w:r>
          </w:p>
        </w:tc>
        <w:tc>
          <w:tcPr>
            <w:tcW w:w="1028"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pH</w:t>
            </w:r>
          </w:p>
        </w:tc>
        <w:tc>
          <w:tcPr>
            <w:tcW w:w="949"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CODcr</w:t>
            </w:r>
          </w:p>
        </w:tc>
        <w:tc>
          <w:tcPr>
            <w:tcW w:w="925"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BOD5</w:t>
            </w:r>
          </w:p>
        </w:tc>
        <w:tc>
          <w:tcPr>
            <w:tcW w:w="85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SS</w:t>
            </w:r>
          </w:p>
        </w:tc>
        <w:tc>
          <w:tcPr>
            <w:tcW w:w="852"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NH3-N</w:t>
            </w:r>
          </w:p>
        </w:tc>
        <w:tc>
          <w:tcPr>
            <w:tcW w:w="79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TN</w:t>
            </w:r>
          </w:p>
        </w:tc>
        <w:tc>
          <w:tcPr>
            <w:tcW w:w="704"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TP</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2200"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进水水质</w:t>
            </w:r>
          </w:p>
        </w:tc>
        <w:tc>
          <w:tcPr>
            <w:tcW w:w="1028"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6~9</w:t>
            </w:r>
          </w:p>
        </w:tc>
        <w:tc>
          <w:tcPr>
            <w:tcW w:w="949"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300</w:t>
            </w:r>
          </w:p>
        </w:tc>
        <w:tc>
          <w:tcPr>
            <w:tcW w:w="925"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120</w:t>
            </w:r>
          </w:p>
        </w:tc>
        <w:tc>
          <w:tcPr>
            <w:tcW w:w="85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200</w:t>
            </w:r>
          </w:p>
        </w:tc>
        <w:tc>
          <w:tcPr>
            <w:tcW w:w="85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35</w:t>
            </w:r>
          </w:p>
        </w:tc>
        <w:tc>
          <w:tcPr>
            <w:tcW w:w="79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40</w:t>
            </w:r>
          </w:p>
        </w:tc>
        <w:tc>
          <w:tcPr>
            <w:tcW w:w="70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2200"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出水水质</w:t>
            </w:r>
          </w:p>
        </w:tc>
        <w:tc>
          <w:tcPr>
            <w:tcW w:w="1028"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6~9</w:t>
            </w:r>
          </w:p>
        </w:tc>
        <w:tc>
          <w:tcPr>
            <w:tcW w:w="949"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60</w:t>
            </w:r>
          </w:p>
        </w:tc>
        <w:tc>
          <w:tcPr>
            <w:tcW w:w="925"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85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85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792"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70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r>
    </w:tbl>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辰州矿业污水处理系统</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官庄片区目前只有辰州矿业一家公司，目前企业内部废水经自建的污水处理系统处理后排放。</w:t>
      </w:r>
      <w:r>
        <w:rPr>
          <w:rFonts w:hint="eastAsia"/>
          <w:color w:val="000000" w:themeColor="text1"/>
          <w:lang w:val="en-US"/>
          <w14:textFill>
            <w14:solidFill>
              <w14:schemeClr w14:val="tx1"/>
            </w14:solidFill>
          </w14:textFill>
        </w:rPr>
        <w:t>辰州矿业目前共有三座重金属废水处理站：一期废水处理站采用</w:t>
      </w:r>
      <w:r>
        <w:rPr>
          <w:rFonts w:hint="eastAsia"/>
          <w:color w:val="000000" w:themeColor="text1"/>
          <w14:textFill>
            <w14:solidFill>
              <w14:schemeClr w14:val="tx1"/>
            </w14:solidFill>
          </w14:textFill>
        </w:rPr>
        <w:t>调节池→沉淀池→混凝→斜板沉淀→电化学处理→曝气混凝→斜板沉淀→过滤的处理工艺</w:t>
      </w:r>
      <w:r>
        <w:rPr>
          <w:rFonts w:hint="eastAsia"/>
          <w:color w:val="000000" w:themeColor="text1"/>
          <w:lang w:val="en-US"/>
          <w14:textFill>
            <w14:solidFill>
              <w14:schemeClr w14:val="tx1"/>
            </w14:solidFill>
          </w14:textFill>
        </w:rPr>
        <w:t>，处理辰州矿业冶炼厂废水，出水回用不外排；二期废水处理站处理3#尾矿库溢流废水，处理规模为5000m</w:t>
      </w:r>
      <w:r>
        <w:rPr>
          <w:rFonts w:hint="eastAsia"/>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/d，位于3#尾矿库坝下，采用了“生物制剂配合-水解-絮凝分离”工艺，处理达标后外排DW001；三期废水处理站处理工艺与二期重金属废水处理站工艺相同，设计规模为10000</w:t>
      </w:r>
      <w:r>
        <w:rPr>
          <w:rFonts w:hint="eastAsia"/>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m/d，位于4#尾矿库坝下，处理达标后通过管道接入厂区山沟，再通过沟渠排入沃溪DW006。</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目前园区核准范围内，辰州矿业生产线为选矿工程、冶炼生产线、三废车间、砷碱渣库，其中冶炼生产线废水进入一期废水处理站；其余生产线的废水进入4#尾矿库，尾矿溢流水进入三期废水处理站（还处理未回用的矿井水）处理后排放。</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三期污水处理站废水处理工艺为：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废水→缓冲池→配合反应池→水解反应池→絮凝沉淀池→沉泥池</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出水中pH、COD、SS、氨氮、总氮、总磷执行《锡、锑、汞工业污染物排放标准》（GB30770-2014）中表2新建企业水污染物排放限值；总铜、总锌、总铅、总锑、总镉、总砷、总汞、六价铬、总锡、总铊执行《锡、锑、汞工业污染物排放标准》（GB30770-2014）中表3水污染物特别排放限值；总铊执行《工业废水铊污染物排放标准》（DB43/968-2021）表1特别排放限值。</w:t>
      </w:r>
    </w:p>
    <w:p>
      <w:pPr>
        <w:pStyle w:val="32"/>
        <w:rPr>
          <w:color w:val="000000" w:themeColor="text1"/>
          <w14:textFill>
            <w14:solidFill>
              <w14:schemeClr w14:val="tx1"/>
            </w14:solidFill>
          </w14:textFill>
        </w:rPr>
      </w:pPr>
      <w:r>
        <w:rPr>
          <w:color w:val="000000" w:themeColor="text1"/>
          <w14:textFill>
            <w14:solidFill>
              <w14:schemeClr w14:val="tx1"/>
            </w14:solidFill>
          </w14:textFill>
        </w:rPr>
        <w:t>固废处置</w:t>
      </w:r>
      <w:r>
        <w:rPr>
          <w:rFonts w:hint="eastAsia"/>
          <w:color w:val="000000" w:themeColor="text1"/>
          <w14:textFill>
            <w14:solidFill>
              <w14:schemeClr w14:val="tx1"/>
            </w14:solidFill>
          </w14:textFill>
        </w:rPr>
        <w:t>设施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w:t>
      </w:r>
      <w:r>
        <w:rPr>
          <w:color w:val="000000" w:themeColor="text1"/>
          <w14:textFill>
            <w14:solidFill>
              <w14:schemeClr w14:val="tx1"/>
            </w14:solidFill>
          </w14:textFill>
        </w:rPr>
        <w:t>未规划建设一般工业固体废物处置</w:t>
      </w:r>
      <w:r>
        <w:rPr>
          <w:rFonts w:hint="eastAsia"/>
          <w:color w:val="000000" w:themeColor="text1"/>
          <w14:textFill>
            <w14:solidFill>
              <w14:schemeClr w14:val="tx1"/>
            </w14:solidFill>
          </w14:textFill>
        </w:rPr>
        <w:t>企业和危险废物集中处置项目</w:t>
      </w:r>
      <w:r>
        <w:rPr>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园区内工业固废由各单位自行分类收集和处置，首先考虑回收综合利用；对于暂时不能利用的一般工业固废，企业按《一般工业固体废物贮存和填埋污染控制标准》（GB18599-2020）进行</w:t>
      </w:r>
      <w:r>
        <w:rPr>
          <w:rFonts w:hint="eastAsia"/>
          <w:color w:val="000000" w:themeColor="text1"/>
          <w14:textFill>
            <w14:solidFill>
              <w14:schemeClr w14:val="tx1"/>
            </w14:solidFill>
          </w14:textFill>
        </w:rPr>
        <w:t>暂存</w:t>
      </w:r>
      <w:r>
        <w:rPr>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开发区企业产生的危险废物，按照《危险废物贮存污染控制标准》（GB18597-2023）要求暂存，交由有资质单位处理处置。园区并未建设集中的危险废物利用、处置设施。</w:t>
      </w:r>
    </w:p>
    <w:p>
      <w:pPr>
        <w:pStyle w:val="30"/>
        <w:rPr>
          <w:color w:val="000000" w:themeColor="text1"/>
          <w14:textFill>
            <w14:solidFill>
              <w14:schemeClr w14:val="tx1"/>
            </w14:solidFill>
          </w14:textFill>
        </w:rPr>
      </w:pPr>
      <w:bookmarkStart w:id="34" w:name="_Toc236641275"/>
      <w:r>
        <w:rPr>
          <w:rFonts w:hint="eastAsia"/>
          <w:color w:val="000000" w:themeColor="text1"/>
          <w14:textFill>
            <w14:solidFill>
              <w14:schemeClr w14:val="tx1"/>
            </w14:solidFill>
          </w14:textFill>
        </w:rPr>
        <w:t>拟扩区块现状调查</w:t>
      </w:r>
      <w:bookmarkEnd w:id="34"/>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用地类型调查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本次扩区主要在官庄片区和麻溪铺片区，其中麻溪铺片区是新纳入的区块。扩区总面积</w:t>
      </w:r>
      <w:r>
        <w:rPr>
          <w:rFonts w:hint="eastAsia"/>
          <w:color w:val="000000" w:themeColor="text1"/>
          <w:lang w:val="en-US"/>
          <w14:textFill>
            <w14:solidFill>
              <w14:schemeClr w14:val="tx1"/>
            </w14:solidFill>
          </w14:textFill>
        </w:rPr>
        <w:t>30.07</w:t>
      </w:r>
      <w:r>
        <w:rPr>
          <w:rFonts w:hint="eastAsia"/>
          <w:color w:val="000000" w:themeColor="text1"/>
          <w14:textFill>
            <w14:solidFill>
              <w14:schemeClr w14:val="tx1"/>
            </w14:solidFill>
          </w14:textFill>
        </w:rPr>
        <w:t>公顷。其中，农用地面积为</w:t>
      </w:r>
      <w:r>
        <w:rPr>
          <w:rFonts w:hint="eastAsia"/>
          <w:color w:val="000000" w:themeColor="text1"/>
          <w:lang w:val="en-US"/>
          <w14:textFill>
            <w14:solidFill>
              <w14:schemeClr w14:val="tx1"/>
            </w14:solidFill>
          </w14:textFill>
        </w:rPr>
        <w:t>11.93</w:t>
      </w:r>
      <w:r>
        <w:rPr>
          <w:rFonts w:hint="eastAsia"/>
          <w:color w:val="000000" w:themeColor="text1"/>
          <w14:textFill>
            <w14:solidFill>
              <w14:schemeClr w14:val="tx1"/>
            </w14:solidFill>
          </w14:textFill>
        </w:rPr>
        <w:t>公顷，占总用地面积的</w:t>
      </w:r>
      <w:r>
        <w:rPr>
          <w:rFonts w:hint="eastAsia"/>
          <w:color w:val="000000" w:themeColor="text1"/>
          <w:lang w:val="en-US"/>
          <w14:textFill>
            <w14:solidFill>
              <w14:schemeClr w14:val="tx1"/>
            </w14:solidFill>
          </w14:textFill>
        </w:rPr>
        <w:t>39.68</w:t>
      </w:r>
      <w:r>
        <w:rPr>
          <w:rFonts w:hint="eastAsia"/>
          <w:color w:val="000000" w:themeColor="text1"/>
          <w14:textFill>
            <w14:solidFill>
              <w14:schemeClr w14:val="tx1"/>
            </w14:solidFill>
          </w14:textFill>
        </w:rPr>
        <w:t>%。建设用地面积为</w:t>
      </w:r>
      <w:r>
        <w:rPr>
          <w:rFonts w:hint="eastAsia"/>
          <w:color w:val="000000" w:themeColor="text1"/>
          <w:lang w:val="en-US"/>
          <w14:textFill>
            <w14:solidFill>
              <w14:schemeClr w14:val="tx1"/>
            </w14:solidFill>
          </w14:textFill>
        </w:rPr>
        <w:t>17.65</w:t>
      </w:r>
      <w:r>
        <w:rPr>
          <w:rFonts w:hint="eastAsia"/>
          <w:color w:val="000000" w:themeColor="text1"/>
          <w14:textFill>
            <w14:solidFill>
              <w14:schemeClr w14:val="tx1"/>
            </w14:solidFill>
          </w14:textFill>
        </w:rPr>
        <w:t>公顷，占总用地面积的</w:t>
      </w:r>
      <w:r>
        <w:rPr>
          <w:rFonts w:hint="eastAsia"/>
          <w:color w:val="000000" w:themeColor="text1"/>
          <w:lang w:val="en-US"/>
          <w14:textFill>
            <w14:solidFill>
              <w14:schemeClr w14:val="tx1"/>
            </w14:solidFill>
          </w14:textFill>
        </w:rPr>
        <w:t>58.71</w:t>
      </w:r>
      <w:r>
        <w:rPr>
          <w:rFonts w:hint="eastAsia"/>
          <w:color w:val="000000" w:themeColor="text1"/>
          <w14:textFill>
            <w14:solidFill>
              <w14:schemeClr w14:val="tx1"/>
            </w14:solidFill>
          </w14:textFill>
        </w:rPr>
        <w:t>%。未利用地面积为0.</w:t>
      </w:r>
      <w:r>
        <w:rPr>
          <w:rFonts w:hint="eastAsia"/>
          <w:color w:val="000000" w:themeColor="text1"/>
          <w:lang w:val="en-US"/>
          <w14:textFill>
            <w14:solidFill>
              <w14:schemeClr w14:val="tx1"/>
            </w14:solidFill>
          </w14:textFill>
        </w:rPr>
        <w:t>48</w:t>
      </w:r>
      <w:r>
        <w:rPr>
          <w:rFonts w:hint="eastAsia"/>
          <w:color w:val="000000" w:themeColor="text1"/>
          <w14:textFill>
            <w14:solidFill>
              <w14:schemeClr w14:val="tx1"/>
            </w14:solidFill>
          </w14:textFill>
        </w:rPr>
        <w:t>公顷，占总用地面积的</w:t>
      </w:r>
      <w:r>
        <w:rPr>
          <w:rFonts w:hint="eastAsia"/>
          <w:color w:val="000000" w:themeColor="text1"/>
          <w:lang w:val="en-US"/>
          <w14:textFill>
            <w14:solidFill>
              <w14:schemeClr w14:val="tx1"/>
            </w14:solidFill>
          </w14:textFill>
        </w:rPr>
        <w:t>1.61</w:t>
      </w:r>
      <w:r>
        <w:rPr>
          <w:rFonts w:hint="eastAsia"/>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拟扩区块土地利用类型详见下表。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拟扩区块用地现状一览表</w:t>
      </w:r>
    </w:p>
    <w:tbl>
      <w:tblPr>
        <w:tblStyle w:val="66"/>
        <w:tblW w:w="830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448"/>
        <w:gridCol w:w="1656"/>
        <w:gridCol w:w="1837"/>
        <w:gridCol w:w="1684"/>
        <w:gridCol w:w="1677"/>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4941" w:type="dxa"/>
            <w:gridSpan w:val="3"/>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用地分类</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面积（公顷）</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比例</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4941" w:type="dxa"/>
            <w:gridSpan w:val="3"/>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30.07</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100.00%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农用地</w:t>
            </w: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11.93</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39.68%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耕地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0.94%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水田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旱地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0.26</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0.86%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园地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1.02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3.40%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果园</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其他园地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1.02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3.40%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茶园</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林地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10.02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33.33%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乔木林地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6.92%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竹林地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灌木林地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2.71</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9.00%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其他林地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5.24</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17.41%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其他农用地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0.61</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农村道路</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0.34</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1.13%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水库水面</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坑塘水面</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0.26</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0.88%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沟渠</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设施农业用地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建设用地</w:t>
            </w: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17.65</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58.71%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交通运输用地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4.90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16.29%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城镇村道路用地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0.62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2.07%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铁路用地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公路用地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4.28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14.22%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4941" w:type="dxa"/>
            <w:gridSpan w:val="3"/>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用地分类</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面积（公顷）</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比例</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管道运输用地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交通服务场站用地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住宅用地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3.99</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13.26%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城镇住宅用地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0.06</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0.19%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农村宅基地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3.93</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13.08%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公共管理与公共服务设施用地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0.10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0.35%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机关团体新闻出版用地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0.10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0.35%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科教文卫用地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商业服务业用地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0.25</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0.82%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物流仓储用地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0.14</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0.46%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商业服务业设施用地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0.11</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0.36%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工矿用地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7.48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24.87%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工业用地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7.48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24.87%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采矿用地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公用设施用地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0.94</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3.12%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公用设施用地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0.69</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2.30%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广场用地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0.03</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公园与绿地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0.22</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0.73%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1656"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特殊用地</w:t>
            </w:r>
          </w:p>
        </w:tc>
        <w:tc>
          <w:tcPr>
            <w:tcW w:w="183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特殊用地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restart"/>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未利用地</w:t>
            </w: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小计</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0.48</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1.61%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其他草地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0.43</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1.41%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水域及水利设施用地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内陆滩涂</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448" w:type="dxa"/>
            <w:vMerge w:val="continue"/>
            <w:tcBorders>
              <w:tl2br w:val="nil"/>
              <w:tr2bl w:val="nil"/>
            </w:tcBorders>
            <w:shd w:val="clear" w:color="auto" w:fill="FFFFFF"/>
            <w:vAlign w:val="center"/>
          </w:tcPr>
          <w:p>
            <w:pPr>
              <w:pStyle w:val="36"/>
              <w:rPr>
                <w:color w:val="000000" w:themeColor="text1"/>
                <w14:textFill>
                  <w14:solidFill>
                    <w14:schemeClr w14:val="tx1"/>
                  </w14:solidFill>
                </w14:textFill>
              </w:rPr>
            </w:pPr>
          </w:p>
        </w:tc>
        <w:tc>
          <w:tcPr>
            <w:tcW w:w="3493" w:type="dxa"/>
            <w:gridSpan w:val="2"/>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裸土地</w:t>
            </w:r>
          </w:p>
        </w:tc>
        <w:tc>
          <w:tcPr>
            <w:tcW w:w="1684"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0.06</w:t>
            </w:r>
          </w:p>
        </w:tc>
        <w:tc>
          <w:tcPr>
            <w:tcW w:w="1677" w:type="dxa"/>
            <w:tcBorders>
              <w:tl2br w:val="nil"/>
              <w:tr2bl w:val="nil"/>
            </w:tcBorders>
            <w:shd w:val="clear" w:color="auto" w:fill="FFFFFF"/>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0.20%</w:t>
            </w:r>
          </w:p>
        </w:tc>
      </w:tr>
    </w:tbl>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现状基础设施调查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本次扩区主要在官庄片区和麻溪铺片区，其中麻溪铺片区是新纳入的区块。</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目前仅有一家企业，本次扩展区块也是为该企业后续发展提供空间。经调查，新扩区块与园区目前开发成熟的地块毗邻，给水、排水、供电、供气、道路等已建设至区块周边，且建设标准和规模满足区块开发利用的要求，区块开发程度难度较小。</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麻溪铺片区本次是新纳入园区，地块上目前仅有一家企业，本次扩展区块也是为该企业后续发展提供空间。经调查区块内（企业内）给水、排水、供电、供气、道路等已建设完成，区块开发程度难度较小。</w:t>
      </w:r>
      <w:bookmarkEnd w:id="21"/>
    </w:p>
    <w:p>
      <w:pPr>
        <w:pStyle w:val="30"/>
        <w:rPr>
          <w:color w:val="000000" w:themeColor="text1"/>
          <w14:textFill>
            <w14:solidFill>
              <w14:schemeClr w14:val="tx1"/>
            </w14:solidFill>
          </w14:textFill>
        </w:rPr>
      </w:pPr>
      <w:bookmarkStart w:id="35" w:name="_Toc236641276"/>
      <w:bookmarkStart w:id="36" w:name="_Hlk95997963"/>
      <w:r>
        <w:rPr>
          <w:color w:val="000000" w:themeColor="text1"/>
          <w14:textFill>
            <w14:solidFill>
              <w14:schemeClr w14:val="tx1"/>
            </w14:solidFill>
          </w14:textFill>
        </w:rPr>
        <w:t>入园企业</w:t>
      </w:r>
      <w:r>
        <w:rPr>
          <w:rFonts w:hint="eastAsia"/>
          <w:color w:val="000000" w:themeColor="text1"/>
          <w14:textFill>
            <w14:solidFill>
              <w14:schemeClr w14:val="tx1"/>
            </w14:solidFill>
          </w14:textFill>
        </w:rPr>
        <w:t>概况</w:t>
      </w:r>
      <w:bookmarkEnd w:id="35"/>
    </w:p>
    <w:bookmarkEnd w:id="36"/>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根据统计，目前</w:t>
      </w:r>
      <w:r>
        <w:rPr>
          <w:rFonts w:hint="eastAsia"/>
          <w:color w:val="000000" w:themeColor="text1"/>
          <w14:textFill>
            <w14:solidFill>
              <w14:schemeClr w14:val="tx1"/>
            </w14:solidFill>
          </w14:textFill>
        </w:rPr>
        <w:t>园区入园企业有17</w:t>
      </w:r>
      <w:r>
        <w:rPr>
          <w:color w:val="000000" w:themeColor="text1"/>
          <w14:textFill>
            <w14:solidFill>
              <w14:schemeClr w14:val="tx1"/>
            </w14:solidFill>
          </w14:textFill>
        </w:rPr>
        <w:t>家</w:t>
      </w:r>
      <w:r>
        <w:rPr>
          <w:rFonts w:hint="eastAsia"/>
          <w:color w:val="000000" w:themeColor="text1"/>
          <w14:textFill>
            <w14:solidFill>
              <w14:schemeClr w14:val="tx1"/>
            </w14:solidFill>
          </w14:textFill>
        </w:rPr>
        <w:t>，3家在试运营，1家正在建设，其余13家正常生产。经统计园区企业所属行业，统计结果详见下表。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园区现有企业行业统计一览表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820"/>
        <w:gridCol w:w="59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片区</w:t>
            </w: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企业数量</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所属行业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凉水井片区</w:t>
            </w: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C13 农副食品加工业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C15酒、饮料和精制茶制造业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C19皮革、毛皮、羽毛及其制品和制鞋业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C26化学原料和化学制品制造业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C29 橡胶和塑料制品业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C30非金属矿物制品业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C33金属制品业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C35专用设备制造业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C38 电气机械和器材制造业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Merge w:val="continue"/>
            <w:vAlign w:val="center"/>
          </w:tcPr>
          <w:p>
            <w:pPr>
              <w:pStyle w:val="36"/>
              <w:rPr>
                <w:color w:val="000000" w:themeColor="text1"/>
                <w14:textFill>
                  <w14:solidFill>
                    <w14:schemeClr w14:val="tx1"/>
                  </w14:solidFill>
                </w14:textFill>
              </w:rPr>
            </w:pP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C39计算机、通信和其他电子设备制造业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官庄片区</w:t>
            </w: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C32 有色金属冶炼和压延加工业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4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w:t>
            </w:r>
          </w:p>
        </w:tc>
        <w:tc>
          <w:tcPr>
            <w:tcW w:w="82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96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C32有色金属冶炼和压延加工业、C26化学原料和化学制品制造业</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湘发改地区〔2021〕394号，园区以电子信息为主导，有色金属为特色产业，分别对应凉水井片区和官庄片区。由上表可以看出，园区目前引进企业数量较少，凉水井片区电子信息相对较多，但并未形成一定的产业集群；官庄片区仅有一家企业，重点发展有色金属冶炼产业，符合产业规划要求。</w:t>
      </w:r>
    </w:p>
    <w:p>
      <w:pPr>
        <w:pStyle w:val="30"/>
        <w:rPr>
          <w:color w:val="000000" w:themeColor="text1"/>
          <w14:textFill>
            <w14:solidFill>
              <w14:schemeClr w14:val="tx1"/>
            </w14:solidFill>
          </w14:textFill>
        </w:rPr>
      </w:pPr>
      <w:bookmarkStart w:id="37" w:name="_Toc236641277"/>
      <w:r>
        <w:rPr>
          <w:color w:val="000000" w:themeColor="text1"/>
          <w14:textFill>
            <w14:solidFill>
              <w14:schemeClr w14:val="tx1"/>
            </w14:solidFill>
          </w14:textFill>
        </w:rPr>
        <w:t>环境管理状况</w:t>
      </w:r>
      <w:bookmarkEnd w:id="37"/>
    </w:p>
    <w:p>
      <w:pPr>
        <w:pStyle w:val="32"/>
        <w:rPr>
          <w:color w:val="000000" w:themeColor="text1"/>
          <w14:textFill>
            <w14:solidFill>
              <w14:schemeClr w14:val="tx1"/>
            </w14:solidFill>
          </w14:textFill>
        </w:rPr>
      </w:pPr>
      <w:r>
        <w:rPr>
          <w:color w:val="000000" w:themeColor="text1"/>
          <w14:textFill>
            <w14:solidFill>
              <w14:schemeClr w14:val="tx1"/>
            </w14:solidFill>
          </w14:textFill>
        </w:rPr>
        <w:t>管理机构设置情况</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为深化推进中央、省生态环境保护督察工作，健全开发区生态环境保护工作组织领导机制，实施部门联动责任制，形成齐抓共管的大环保工作格局，</w:t>
      </w:r>
      <w:r>
        <w:rPr>
          <w:rFonts w:hint="eastAsia"/>
          <w:color w:val="000000" w:themeColor="text1"/>
          <w:lang w:val="en-US"/>
          <w14:textFill>
            <w14:solidFill>
              <w14:schemeClr w14:val="tx1"/>
            </w14:solidFill>
          </w14:textFill>
        </w:rPr>
        <w:t>沅陵</w:t>
      </w:r>
      <w:r>
        <w:rPr>
          <w:rFonts w:hint="eastAsia"/>
          <w:color w:val="000000" w:themeColor="text1"/>
          <w14:textFill>
            <w14:solidFill>
              <w14:schemeClr w14:val="tx1"/>
            </w14:solidFill>
          </w14:textFill>
        </w:rPr>
        <w:t>产业开发区组织成立了生态环境保护</w:t>
      </w:r>
      <w:bookmarkStart w:id="38" w:name="_Hlk172294099"/>
      <w:r>
        <w:rPr>
          <w:rFonts w:hint="eastAsia"/>
          <w:color w:val="000000" w:themeColor="text1"/>
          <w14:textFill>
            <w14:solidFill>
              <w14:schemeClr w14:val="tx1"/>
            </w14:solidFill>
          </w14:textFill>
        </w:rPr>
        <w:t>委员会</w:t>
      </w:r>
      <w:bookmarkEnd w:id="38"/>
      <w:r>
        <w:rPr>
          <w:rFonts w:hint="eastAsia"/>
          <w:color w:val="000000" w:themeColor="text1"/>
          <w14:textFill>
            <w14:solidFill>
              <w14:schemeClr w14:val="tx1"/>
            </w14:solidFill>
          </w14:textFill>
        </w:rPr>
        <w:t>。委员会由</w:t>
      </w:r>
      <w:r>
        <w:rPr>
          <w:rFonts w:hint="eastAsia"/>
          <w:color w:val="000000" w:themeColor="text1"/>
          <w:lang w:val="en-US"/>
          <w14:textFill>
            <w14:solidFill>
              <w14:schemeClr w14:val="tx1"/>
            </w14:solidFill>
          </w14:textFill>
        </w:rPr>
        <w:t>沅陵</w:t>
      </w:r>
      <w:r>
        <w:rPr>
          <w:rFonts w:hint="eastAsia"/>
          <w:color w:val="000000" w:themeColor="text1"/>
          <w14:textFill>
            <w14:solidFill>
              <w14:schemeClr w14:val="tx1"/>
            </w14:solidFill>
          </w14:textFill>
        </w:rPr>
        <w:t>产业开发区党工委书记任主任，成员机构包括办公室、产业发展局、经济合作局、开发建设局、财政事务局、纪工委、征地拆迁和社会事务服务中心、社会事务局。生态环境保护委员会主要目标是贯彻上级党委、政府关于环境保护的重要方针、政策和决策部署，大力推进生态文明建设，避免因决策失误和施政不当导致生态环境损害。</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22"/>
        <w:gridCol w:w="420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32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787015" cy="2089150"/>
                  <wp:effectExtent l="0" t="0" r="0" b="6350"/>
                  <wp:docPr id="37980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0731" name="图片 1"/>
                          <pic:cNvPicPr>
                            <a:picLocks noChangeAspect="1"/>
                          </pic:cNvPicPr>
                        </pic:nvPicPr>
                        <pic:blipFill>
                          <a:blip r:embed="rId22"/>
                          <a:stretch>
                            <a:fillRect/>
                          </a:stretch>
                        </pic:blipFill>
                        <pic:spPr>
                          <a:xfrm>
                            <a:off x="0" y="0"/>
                            <a:ext cx="2828727" cy="2120531"/>
                          </a:xfrm>
                          <a:prstGeom prst="rect">
                            <a:avLst/>
                          </a:prstGeom>
                        </pic:spPr>
                      </pic:pic>
                    </a:graphicData>
                  </a:graphic>
                </wp:inline>
              </w:drawing>
            </w:r>
          </w:p>
        </w:tc>
        <w:tc>
          <w:tcPr>
            <w:tcW w:w="420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685415" cy="2023110"/>
                  <wp:effectExtent l="0" t="0" r="635" b="0"/>
                  <wp:docPr id="20832049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04945" name="图片 1"/>
                          <pic:cNvPicPr>
                            <a:picLocks noChangeAspect="1"/>
                          </pic:cNvPicPr>
                        </pic:nvPicPr>
                        <pic:blipFill>
                          <a:blip r:embed="rId23"/>
                          <a:stretch>
                            <a:fillRect/>
                          </a:stretch>
                        </pic:blipFill>
                        <pic:spPr>
                          <a:xfrm>
                            <a:off x="0" y="0"/>
                            <a:ext cx="2696398" cy="2031142"/>
                          </a:xfrm>
                          <a:prstGeom prst="rect">
                            <a:avLst/>
                          </a:prstGeom>
                        </pic:spPr>
                      </pic:pic>
                    </a:graphicData>
                  </a:graphic>
                </wp:inline>
              </w:drawing>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432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772410" cy="2089785"/>
                  <wp:effectExtent l="0" t="0" r="8890" b="5715"/>
                  <wp:docPr id="53348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820" name="图片 1"/>
                          <pic:cNvPicPr>
                            <a:picLocks noChangeAspect="1"/>
                          </pic:cNvPicPr>
                        </pic:nvPicPr>
                        <pic:blipFill>
                          <a:blip r:embed="rId24"/>
                          <a:stretch>
                            <a:fillRect/>
                          </a:stretch>
                        </pic:blipFill>
                        <pic:spPr>
                          <a:xfrm>
                            <a:off x="0" y="0"/>
                            <a:ext cx="2794305" cy="2106741"/>
                          </a:xfrm>
                          <a:prstGeom prst="rect">
                            <a:avLst/>
                          </a:prstGeom>
                        </pic:spPr>
                      </pic:pic>
                    </a:graphicData>
                  </a:graphic>
                </wp:inline>
              </w:drawing>
            </w:r>
          </w:p>
        </w:tc>
        <w:tc>
          <w:tcPr>
            <w:tcW w:w="4201"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698750" cy="2042795"/>
                  <wp:effectExtent l="0" t="0" r="6350" b="0"/>
                  <wp:docPr id="8547933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93317" name="图片 1"/>
                          <pic:cNvPicPr>
                            <a:picLocks noChangeAspect="1"/>
                          </pic:cNvPicPr>
                        </pic:nvPicPr>
                        <pic:blipFill>
                          <a:blip r:embed="rId25"/>
                          <a:stretch>
                            <a:fillRect/>
                          </a:stretch>
                        </pic:blipFill>
                        <pic:spPr>
                          <a:xfrm>
                            <a:off x="0" y="0"/>
                            <a:ext cx="2713913" cy="2054208"/>
                          </a:xfrm>
                          <a:prstGeom prst="rect">
                            <a:avLst/>
                          </a:prstGeom>
                        </pic:spPr>
                      </pic:pic>
                    </a:graphicData>
                  </a:graphic>
                </wp:inline>
              </w:drawing>
            </w:r>
          </w:p>
        </w:tc>
      </w:tr>
    </w:tbl>
    <w:p>
      <w:pPr>
        <w:pStyle w:val="54"/>
        <w:rPr>
          <w:color w:val="000000" w:themeColor="text1"/>
          <w14:textFill>
            <w14:solidFill>
              <w14:schemeClr w14:val="tx1"/>
            </w14:solidFill>
          </w14:textFill>
        </w:rPr>
      </w:pPr>
      <w:r>
        <w:rPr>
          <w:rFonts w:hint="eastAsia"/>
          <w:color w:val="000000" w:themeColor="text1"/>
          <w14:textFill>
            <w14:solidFill>
              <w14:schemeClr w14:val="tx1"/>
            </w14:solidFill>
          </w14:textFill>
        </w:rPr>
        <w:t>园区环境宣传和学习情况</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环保管理制度执行情况</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经统计目前入园企业环保手续执行情况，除未在环评分类管理名录中的企业外，其他企业均完成了环评手续，排污许可发证率100%，共有4家重点管理企业，8家登记管理企业，1家简化管理企业，4家企业无需办理。正常生产经营的企业均办理了验收手续，试运营的企业正在办理竣工环境保护验收。园区内已完成应急预案备案手续企业9家。</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在今后的发展过程中，应严格执行环评制度和“三同时”制度，对符合规划环评结论清单要求的建设项目，强化联动，简化项目环评内容，简化项目环评审批工作量。</w:t>
      </w:r>
    </w:p>
    <w:p>
      <w:pPr>
        <w:pStyle w:val="30"/>
        <w:rPr>
          <w:color w:val="000000" w:themeColor="text1"/>
          <w14:textFill>
            <w14:solidFill>
              <w14:schemeClr w14:val="tx1"/>
            </w14:solidFill>
          </w14:textFill>
        </w:rPr>
      </w:pPr>
      <w:bookmarkStart w:id="39" w:name="_Toc236641278"/>
      <w:r>
        <w:rPr>
          <w:color w:val="000000" w:themeColor="text1"/>
          <w14:textFill>
            <w14:solidFill>
              <w14:schemeClr w14:val="tx1"/>
            </w14:solidFill>
          </w14:textFill>
        </w:rPr>
        <w:t>资源能源开发利用现状调查</w:t>
      </w:r>
      <w:bookmarkEnd w:id="39"/>
    </w:p>
    <w:p>
      <w:pPr>
        <w:pStyle w:val="32"/>
        <w:rPr>
          <w:color w:val="000000" w:themeColor="text1"/>
          <w14:textFill>
            <w14:solidFill>
              <w14:schemeClr w14:val="tx1"/>
            </w14:solidFill>
          </w14:textFill>
        </w:rPr>
      </w:pPr>
      <w:r>
        <w:rPr>
          <w:color w:val="000000" w:themeColor="text1"/>
          <w14:textFill>
            <w14:solidFill>
              <w14:schemeClr w14:val="tx1"/>
            </w14:solidFill>
          </w14:textFill>
        </w:rPr>
        <w:t>土地利用现状调查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湖南省发展和改革委员会关于祁东高新技术产业开发区等4家园区调区的函》（湘发改园区〔2024〕21号），沅陵产业开发区调区后总面积为210.14公顷，包含两个区块，区块一面积183.23公顷，区块二26.91面积公顷。</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土地总面积为210.14公顷，已批准征收土地面积和已批准转用土地面积均为155.08公顷，已到达供地条件的土地面积148.54公顷，占土地总面积的70.69%，已供应国有建设用地面积139.10公顷占土地总面积的66.19%，已建成城镇建设用地面积113.13公顷占土地总面积的53.83%，工矿仓储用地面积92.16公顷占已建成城镇建设用地面积的81.46%。而住宅用地面积、不可建设土地面积、批而未供土地面积以及闲置土地面积均为0公顷。经测算园区土地开发率为70.69%，工业用地率为81.46%。</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开发区地利用现状统计表</w:t>
      </w:r>
    </w:p>
    <w:tbl>
      <w:tblPr>
        <w:tblStyle w:val="17"/>
        <w:tblW w:w="8521"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554"/>
        <w:gridCol w:w="1967"/>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noWrap/>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项</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目</w:t>
            </w:r>
          </w:p>
        </w:tc>
        <w:tc>
          <w:tcPr>
            <w:tcW w:w="1967" w:type="dxa"/>
            <w:tcBorders>
              <w:tl2br w:val="nil"/>
              <w:tr2bl w:val="nil"/>
            </w:tcBorders>
            <w:noWrap/>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批准范围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土地总面积（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210.14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规划建设用地面积（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210.14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已批准征收土地面积（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155.08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已批准转用土地面积（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155.08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已到达供地条件的土地面积（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148.54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已供应国有建设用地面积（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139.1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已建成城镇建设用地面积（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113.13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工矿仓储用地面积（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92.16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住宅用地面积（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不可建设土地面积（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批而未供土地面积（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atLeast"/>
        </w:trPr>
        <w:tc>
          <w:tcPr>
            <w:tcW w:w="6554" w:type="dxa"/>
            <w:tcBorders>
              <w:tl2br w:val="nil"/>
              <w:tr2bl w:val="nil"/>
            </w:tcBorders>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闲置土地面积（</w:t>
            </w:r>
            <w:r>
              <w:rPr>
                <w:color w:val="000000" w:themeColor="text1"/>
                <w14:textFill>
                  <w14:solidFill>
                    <w14:schemeClr w14:val="tx1"/>
                  </w14:solidFill>
                </w14:textFill>
              </w:rPr>
              <w:t>hm²</w:t>
            </w:r>
            <w:r>
              <w:rPr>
                <w:rFonts w:hint="eastAsia"/>
                <w:color w:val="000000" w:themeColor="text1"/>
                <w14:textFill>
                  <w14:solidFill>
                    <w14:schemeClr w14:val="tx1"/>
                  </w14:solidFill>
                </w14:textFill>
              </w:rPr>
              <w:t>）</w:t>
            </w:r>
          </w:p>
        </w:tc>
        <w:tc>
          <w:tcPr>
            <w:tcW w:w="1967"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0</w:t>
            </w:r>
          </w:p>
        </w:tc>
      </w:tr>
    </w:tbl>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2024</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22</w:t>
      </w:r>
      <w:r>
        <w:rPr>
          <w:rFonts w:hint="eastAsia"/>
          <w:color w:val="000000" w:themeColor="text1"/>
          <w14:textFill>
            <w14:solidFill>
              <w14:schemeClr w14:val="tx1"/>
            </w14:solidFill>
          </w14:textFill>
        </w:rPr>
        <w:t>日，湖南省自然资源厅关于《关于省级及以上园区</w:t>
      </w:r>
      <w:r>
        <w:rPr>
          <w:color w:val="000000" w:themeColor="text1"/>
          <w14:textFill>
            <w14:solidFill>
              <w14:schemeClr w14:val="tx1"/>
            </w14:solidFill>
          </w14:textFill>
        </w:rPr>
        <w:t>2023</w:t>
      </w:r>
      <w:r>
        <w:rPr>
          <w:rFonts w:hint="eastAsia"/>
          <w:color w:val="000000" w:themeColor="text1"/>
          <w14:textFill>
            <w14:solidFill>
              <w14:schemeClr w14:val="tx1"/>
            </w14:solidFill>
          </w14:textFill>
        </w:rPr>
        <w:t>年度土地集约利用评价结果公示》，2023年度省级工业主导型开发区土地集约利用评价结果综合得分</w:t>
      </w:r>
      <w:r>
        <w:rPr>
          <w:rFonts w:hint="eastAsia"/>
          <w:color w:val="000000" w:themeColor="text1"/>
          <w:lang w:val="en-US"/>
          <w14:textFill>
            <w14:solidFill>
              <w14:schemeClr w14:val="tx1"/>
            </w14:solidFill>
          </w14:textFill>
        </w:rPr>
        <w:t>90.33</w:t>
      </w:r>
      <w:r>
        <w:rPr>
          <w:rFonts w:hint="eastAsia"/>
          <w:color w:val="000000" w:themeColor="text1"/>
          <w14:textFill>
            <w14:solidFill>
              <w14:schemeClr w14:val="tx1"/>
            </w14:solidFill>
          </w14:textFill>
        </w:rPr>
        <w:t>分。</w:t>
      </w:r>
    </w:p>
    <w:p>
      <w:pPr>
        <w:pStyle w:val="32"/>
        <w:rPr>
          <w:color w:val="000000" w:themeColor="text1"/>
          <w14:textFill>
            <w14:solidFill>
              <w14:schemeClr w14:val="tx1"/>
            </w14:solidFill>
          </w14:textFill>
        </w:rPr>
      </w:pPr>
      <w:r>
        <w:rPr>
          <w:color w:val="000000" w:themeColor="text1"/>
          <w14:textFill>
            <w14:solidFill>
              <w14:schemeClr w14:val="tx1"/>
            </w14:solidFill>
          </w14:textFill>
        </w:rPr>
        <w:t>水资源利用现状调查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根据调查，凉水井片区目前由城南二水厂供水。二水厂设计年取水量1800万吨，现状实际年取水量约565万吨。水厂取水水源来自沅江。</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麻溪铺片区生产用水来自荔溪，供水能力6240m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/d；生活用水来自麻溪铺镇。官庄片区生产用水来自上游粟家溪、上沃溪、石床河三个水源，供水能力为388万m3/a，生活用水水源为上沃溪水库，供水能力为255万m3/a。</w:t>
      </w:r>
    </w:p>
    <w:p>
      <w:pPr>
        <w:pStyle w:val="32"/>
        <w:rPr>
          <w:color w:val="000000" w:themeColor="text1"/>
          <w14:textFill>
            <w14:solidFill>
              <w14:schemeClr w14:val="tx1"/>
            </w14:solidFill>
          </w14:textFill>
        </w:rPr>
      </w:pPr>
      <w:r>
        <w:rPr>
          <w:color w:val="000000" w:themeColor="text1"/>
          <w14:textFill>
            <w14:solidFill>
              <w14:schemeClr w14:val="tx1"/>
            </w14:solidFill>
          </w14:textFill>
        </w:rPr>
        <w:t>能源利用现状调查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根据调研，开发区能源消耗主要有电能、天然气，各能源种类供应情况如下。</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沅陵产业开发区凉水井片区近年来用电情况</w:t>
      </w:r>
    </w:p>
    <w:p>
      <w:pPr>
        <w:pStyle w:val="41"/>
        <w:rPr>
          <w:color w:val="000000" w:themeColor="text1"/>
          <w14:textFill>
            <w14:solidFill>
              <w14:schemeClr w14:val="tx1"/>
            </w14:solidFill>
          </w14:textFill>
        </w:rPr>
      </w:pPr>
      <w:r>
        <w:rPr>
          <w:color w:val="000000" w:themeColor="text1"/>
          <w14:textFill>
            <w14:solidFill>
              <w14:schemeClr w14:val="tx1"/>
            </w14:solidFill>
          </w14:textFill>
        </w:rPr>
        <w:t>单位：万</w:t>
      </w:r>
      <w:r>
        <w:rPr>
          <w:rFonts w:hint="eastAsia"/>
          <w:color w:val="000000" w:themeColor="text1"/>
          <w14:textFill>
            <w14:solidFill>
              <w14:schemeClr w14:val="tx1"/>
            </w14:solidFill>
          </w14:textFill>
        </w:rPr>
        <w:t>Kwh</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52"/>
        <w:gridCol w:w="28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年份</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电（万kw.h）</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天然气（万立方米）</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2022年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5746</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79.48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2023年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6231</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86.49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2024</w:t>
            </w:r>
            <w:r>
              <w:rPr>
                <w:color w:val="000000" w:themeColor="text1"/>
                <w14:textFill>
                  <w14:solidFill>
                    <w14:schemeClr w14:val="tx1"/>
                  </w14:solidFill>
                </w14:textFill>
              </w:rPr>
              <w:t>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5994</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82.86</w:t>
            </w:r>
          </w:p>
        </w:tc>
      </w:tr>
    </w:tbl>
    <w:p>
      <w:pPr>
        <w:pStyle w:val="41"/>
        <w:rPr>
          <w:color w:val="000000" w:themeColor="text1"/>
          <w14:textFill>
            <w14:solidFill>
              <w14:schemeClr w14:val="tx1"/>
            </w14:solidFill>
          </w14:textFill>
        </w:rPr>
      </w:pP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辰州矿业近三年能源使用情况一览表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52"/>
        <w:gridCol w:w="28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年份</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电（万kw.h）</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天然气（万立方米）</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2022年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5746</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79.48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2023年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6231</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86.49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836"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2024</w:t>
            </w:r>
            <w:r>
              <w:rPr>
                <w:color w:val="000000" w:themeColor="text1"/>
                <w14:textFill>
                  <w14:solidFill>
                    <w14:schemeClr w14:val="tx1"/>
                  </w14:solidFill>
                </w14:textFill>
              </w:rPr>
              <w:t>年</w:t>
            </w:r>
          </w:p>
        </w:tc>
        <w:tc>
          <w:tcPr>
            <w:tcW w:w="285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5994</w:t>
            </w:r>
          </w:p>
        </w:tc>
        <w:tc>
          <w:tcPr>
            <w:tcW w:w="283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82.86</w:t>
            </w:r>
          </w:p>
        </w:tc>
      </w:tr>
    </w:tbl>
    <w:p>
      <w:pPr>
        <w:pStyle w:val="41"/>
        <w:rPr>
          <w:color w:val="000000" w:themeColor="text1"/>
          <w14:textFill>
            <w14:solidFill>
              <w14:schemeClr w14:val="tx1"/>
            </w14:solidFill>
          </w14:textFill>
        </w:rPr>
      </w:pP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山能环保公司近三年能源使用情况一览表</w:t>
      </w:r>
    </w:p>
    <w:tbl>
      <w:tblPr>
        <w:tblStyle w:val="40"/>
        <w:tblW w:w="852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139"/>
        <w:gridCol w:w="2127"/>
        <w:gridCol w:w="212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12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年份</w:t>
            </w:r>
          </w:p>
        </w:tc>
        <w:tc>
          <w:tcPr>
            <w:tcW w:w="21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电（万kw.h）</w:t>
            </w:r>
          </w:p>
        </w:tc>
        <w:tc>
          <w:tcPr>
            <w:tcW w:w="2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煤（吨）</w:t>
            </w:r>
          </w:p>
        </w:tc>
        <w:tc>
          <w:tcPr>
            <w:tcW w:w="21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柴油（立方米）</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12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2022年</w:t>
            </w:r>
          </w:p>
        </w:tc>
        <w:tc>
          <w:tcPr>
            <w:tcW w:w="21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7306</w:t>
            </w:r>
          </w:p>
        </w:tc>
        <w:tc>
          <w:tcPr>
            <w:tcW w:w="2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15648</w:t>
            </w:r>
          </w:p>
        </w:tc>
        <w:tc>
          <w:tcPr>
            <w:tcW w:w="21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90.544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12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2023年</w:t>
            </w:r>
          </w:p>
        </w:tc>
        <w:tc>
          <w:tcPr>
            <w:tcW w:w="21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7017</w:t>
            </w:r>
          </w:p>
        </w:tc>
        <w:tc>
          <w:tcPr>
            <w:tcW w:w="2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13589</w:t>
            </w:r>
          </w:p>
        </w:tc>
        <w:tc>
          <w:tcPr>
            <w:tcW w:w="21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81.268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12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2024</w:t>
            </w:r>
            <w:r>
              <w:rPr>
                <w:color w:val="000000" w:themeColor="text1"/>
                <w14:textFill>
                  <w14:solidFill>
                    <w14:schemeClr w14:val="tx1"/>
                  </w14:solidFill>
                </w14:textFill>
              </w:rPr>
              <w:t>年</w:t>
            </w:r>
          </w:p>
        </w:tc>
        <w:tc>
          <w:tcPr>
            <w:tcW w:w="21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7108</w:t>
            </w:r>
          </w:p>
        </w:tc>
        <w:tc>
          <w:tcPr>
            <w:tcW w:w="2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14635</w:t>
            </w:r>
          </w:p>
        </w:tc>
        <w:tc>
          <w:tcPr>
            <w:tcW w:w="212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85.002</w:t>
            </w:r>
          </w:p>
        </w:tc>
      </w:tr>
    </w:tbl>
    <w:p>
      <w:pPr>
        <w:pStyle w:val="30"/>
        <w:rPr>
          <w:color w:val="000000" w:themeColor="text1"/>
          <w14:textFill>
            <w14:solidFill>
              <w14:schemeClr w14:val="tx1"/>
            </w14:solidFill>
          </w14:textFill>
        </w:rPr>
        <w:sectPr>
          <w:headerReference r:id="rId9" w:type="default"/>
          <w:footerReference r:id="rId10" w:type="default"/>
          <w:pgSz w:w="11907" w:h="16840"/>
          <w:pgMar w:top="1440" w:right="1800" w:bottom="1440" w:left="1800" w:header="850" w:footer="850" w:gutter="0"/>
          <w:pgNumType w:start="1"/>
          <w:cols w:space="720" w:num="1"/>
          <w:docGrid w:type="lines" w:linePitch="560" w:charSpace="0"/>
        </w:sectPr>
      </w:pPr>
    </w:p>
    <w:p>
      <w:pPr>
        <w:pStyle w:val="30"/>
        <w:rPr>
          <w:color w:val="000000" w:themeColor="text1"/>
          <w14:textFill>
            <w14:solidFill>
              <w14:schemeClr w14:val="tx1"/>
            </w14:solidFill>
          </w14:textFill>
        </w:rPr>
      </w:pPr>
      <w:bookmarkStart w:id="40" w:name="_Toc236641279"/>
      <w:r>
        <w:rPr>
          <w:color w:val="000000" w:themeColor="text1"/>
          <w14:textFill>
            <w14:solidFill>
              <w14:schemeClr w14:val="tx1"/>
            </w14:solidFill>
          </w14:textFill>
        </w:rPr>
        <w:t>生态环境现状调查与评价</w:t>
      </w:r>
      <w:bookmarkEnd w:id="40"/>
    </w:p>
    <w:p>
      <w:pPr>
        <w:pStyle w:val="32"/>
        <w:rPr>
          <w:color w:val="000000" w:themeColor="text1"/>
          <w14:textFill>
            <w14:solidFill>
              <w14:schemeClr w14:val="tx1"/>
            </w14:solidFill>
          </w14:textFill>
        </w:rPr>
      </w:pPr>
      <w:r>
        <w:rPr>
          <w:color w:val="000000" w:themeColor="text1"/>
          <w14:textFill>
            <w14:solidFill>
              <w14:schemeClr w14:val="tx1"/>
            </w14:solidFill>
          </w14:textFill>
        </w:rPr>
        <w:t>自然环境概况</w:t>
      </w:r>
    </w:p>
    <w:p>
      <w:pPr>
        <w:pStyle w:val="34"/>
        <w:rPr>
          <w:color w:val="000000" w:themeColor="text1"/>
          <w14:textFill>
            <w14:solidFill>
              <w14:schemeClr w14:val="tx1"/>
            </w14:solidFill>
          </w14:textFill>
        </w:rPr>
      </w:pPr>
      <w:r>
        <w:rPr>
          <w:color w:val="000000" w:themeColor="text1"/>
          <w14:textFill>
            <w14:solidFill>
              <w14:schemeClr w14:val="tx1"/>
            </w14:solidFill>
          </w14:textFill>
        </w:rPr>
        <w:t>地理位置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怀化位于湖南西部偏南，处于武陵山脉和雪峰山脉之间，沅水自南向北贯穿全境，总面积27564平方千米，地处北纬25°52′22″～29°01′25″，东经108°47′13″～111°06′30″之间，南北长353km，东西宽229km，是湖南省面积最大的地级市。从地理位置上看，怀化南接广西（桂林、柳州），西连贵州（铜仁、黔东南），与湖南的邵阳、娄底、益阳、常德、张家界等市和湘西土家族苗族自治州接壤。怀化素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黔滇门户</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全楚咽喉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之称，是中国东中部地区通往大西南的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桥头堡</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，今有湖南</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西大门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之美誉。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沅陵县位于湖南省西北部，怀化市北端，沅水中游，处武陵山东南麓与雪峰山东北尾端交汇处。地理坐标：东经110°05′31″～ 111°06′27″，北纬28°04′48″～29°02′26″。东与桃源、安化相连，南接溆浦、辰溪，西与古丈、泸溪、永顺毗邻，北与张家界交界，素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湘西门户</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南天锁钥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之称。县境南北袤106.6公里，东西广90.5公里，总面积5832平方公里，是全省地域面积最大的县，占全省总面积的2.86%。</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沅陵产业开发区扩区后共分三个片区，分别位于城区南侧、官庄镇和麻溪铺镇。</w:t>
      </w:r>
    </w:p>
    <w:p>
      <w:pPr>
        <w:pStyle w:val="34"/>
        <w:rPr>
          <w:color w:val="000000" w:themeColor="text1"/>
          <w14:textFill>
            <w14:solidFill>
              <w14:schemeClr w14:val="tx1"/>
            </w14:solidFill>
          </w14:textFill>
        </w:rPr>
      </w:pPr>
      <w:r>
        <w:rPr>
          <w:color w:val="000000" w:themeColor="text1"/>
          <w14:textFill>
            <w14:solidFill>
              <w14:schemeClr w14:val="tx1"/>
            </w14:solidFill>
          </w14:textFill>
        </w:rPr>
        <w:t>地形地貌</w:t>
      </w:r>
      <w:r>
        <w:rPr>
          <w:rFonts w:hint="eastAsia"/>
          <w:color w:val="000000" w:themeColor="text1"/>
          <w14:textFill>
            <w14:solidFill>
              <w14:schemeClr w14:val="tx1"/>
            </w14:solidFill>
          </w14:textFill>
        </w:rPr>
        <w:t>地质</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怀化市地处上扬子地块与南华裂陷槽的过渡地带，区内地层发育齐全，构造运动、岩浆活动频繁，地层出露完整，从震旦纪至新生界沉积岩相构造齐全，岩性组成复杂。前震旦纪地层褶皱强烈，以断裂构造为主导，全市形成一系列北东和北北东深大断裂和大断裂为主体的断裂构造体系。境内矿产资源丰富，是湖南西部重要的能源及金属、非金属矿产基地。</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境内山丘重叠，峰峦起伏，地形复杂。地貌轮廓自西南向北倾斜，呈一狭长地带。东南部雪峰山脉成弧形盘踞，西北部为武陵山脉所绵延，中间丘岗起伏，形成若干盆地。地势最高点为雪峰山脉之主峰苏宝顶，海拔标高1934米；最低为沅陵的界首，海拔仅45米。东西两侧高峻，南部突起，向中、北部倾斜，呈簸箕形，向北东敞口。</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山地占全区总面积的70.5%，丘岗、岗地、平原、山原、水域分别占17.9%，、4.1%、4.2%、0.6%、2.7%。全区大致是“七山二丘岗，一份平原加水域”。海拔800米以上的主峰1149个，其中1000米以上的山峰663个。东西部以低山、中山为主；南部多为中低山；北部则以低山、中低山为主；中部主要发育低山、丘陵、平原。</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沅陵</w:t>
      </w:r>
      <w:r>
        <w:rPr>
          <w:rFonts w:hint="eastAsia"/>
          <w:color w:val="000000" w:themeColor="text1"/>
          <w14:textFill>
            <w14:solidFill>
              <w14:schemeClr w14:val="tx1"/>
            </w14:solidFill>
          </w14:textFill>
        </w:rPr>
        <w:t>县境内山峦重叠，溪河纵横，地形复杂，沅酉二水纳百川，纵贯全境。呈现两山夹一谷，朝东北、西南向开口的地貌特征。</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武陵山北部地处境内，由西北向西南集倾斜，西起凉水界，东至雷家包，逶迤长达103公里，主要山脉有凉水界、盘龙山、锅锅垴、贵竹山、堡子界、雷家包等6大支脉，近百座高山。山岭多系马头形，自借母溪乡赵家山马头垴起，东至桃源县境，俗有“四十八个马头下桃源”之称。</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雪峰山南部延伸入境，由东北向西南倾斜，西起九龙山，东至苦菜界，绵延102公里，主要山脉有九龙山、洪山界、圣人山、王尖、苦菜界等5大支脉，百多座山峰。1000米以上的山峰有30余座。</w:t>
      </w:r>
    </w:p>
    <w:p>
      <w:pPr>
        <w:pStyle w:val="34"/>
        <w:rPr>
          <w:color w:val="000000" w:themeColor="text1"/>
          <w14:textFill>
            <w14:solidFill>
              <w14:schemeClr w14:val="tx1"/>
            </w14:solidFill>
          </w14:textFill>
        </w:rPr>
      </w:pPr>
      <w:r>
        <w:rPr>
          <w:color w:val="000000" w:themeColor="text1"/>
          <w14:textFill>
            <w14:solidFill>
              <w14:schemeClr w14:val="tx1"/>
            </w14:solidFill>
          </w14:textFill>
        </w:rPr>
        <w:t>气候气象</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怀化气候属中亚热带季风性湿润气候，年平均气温16.4℃，年降水量1200</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1500毫米，无霜期为265</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290天左右，年日照时数在962</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1452小时之间。主要气候特点表现为：四季分明，热量 充足，雨水集中，严寒期短，暑热期长，夏秋多旱。由于东西地形复杂的影响， 且森林植被覆盖程度不一，因而气候差异大，垂直立体气候变化明显。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详细统计数据见章节“5.2.1.1多年气象条件统计”。</w:t>
      </w:r>
    </w:p>
    <w:p>
      <w:pPr>
        <w:pStyle w:val="34"/>
        <w:rPr>
          <w:color w:val="000000" w:themeColor="text1"/>
          <w14:textFill>
            <w14:solidFill>
              <w14:schemeClr w14:val="tx1"/>
            </w14:solidFill>
          </w14:textFill>
        </w:rPr>
      </w:pPr>
      <w:r>
        <w:rPr>
          <w:color w:val="000000" w:themeColor="text1"/>
          <w14:textFill>
            <w14:solidFill>
              <w14:schemeClr w14:val="tx1"/>
            </w14:solidFill>
          </w14:textFill>
        </w:rPr>
        <w:t>地表水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沅陵县境内地表水主要来自外来客水和大气降水所产生的地表径流。水系以沅水为主干，呈树枝状，纳大小溪河910条，总长3888.55km。其中，流域面积在3km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以上的溪河466条，流域面积在3km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以下的溪河有444条。沅陵县境内年平均降水总量为90.46亿m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，地表径流总量为54.4亿m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，人平均有地表水9761m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，为湖南省人平占有水量的2.5倍。入境客水量为517.6亿m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台湾工业园片区附近河流为沅江和蓝溪河。</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沅江为洞庭湖四大水系之一，发源于贵州省都匀市云雾山，至常德市德山汇入洞庭湖，全长1033km，流域面积89163平方公里。沅江沅陵段自西南的大龙溪入境，至东北的界首出境，河道平均坡降0.594‰，多年平均径流量643亿立方，多年平均流量2040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/s，枯水期平均流量494m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/s，平水期平均流量1574m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/s，丰水期平均流量4703m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沅江在五强溪大坝拦阻下形成水域面积170km</w:t>
      </w:r>
      <w:r>
        <w:rPr>
          <w:color w:val="000000" w:themeColor="text1"/>
          <w:vertAlign w:val="superscript"/>
          <w:lang w:val="en-US"/>
          <w14:textFill>
            <w14:solidFill>
              <w14:schemeClr w14:val="tx1"/>
            </w14:solidFill>
          </w14:textFill>
        </w:rPr>
        <w:t>2</w:t>
      </w:r>
      <w:r>
        <w:rPr>
          <w:color w:val="000000" w:themeColor="text1"/>
          <w:lang w:val="en-US"/>
          <w14:textFill>
            <w14:solidFill>
              <w14:schemeClr w14:val="tx1"/>
            </w14:solidFill>
          </w14:textFill>
        </w:rPr>
        <w:t>的五强溪库区，水库回水长度150.2km，五强溪大坝以上流域面积83800 km</w:t>
      </w:r>
      <w:r>
        <w:rPr>
          <w:color w:val="000000" w:themeColor="text1"/>
          <w:vertAlign w:val="superscript"/>
          <w:lang w:val="en-US"/>
          <w14:textFill>
            <w14:solidFill>
              <w14:schemeClr w14:val="tx1"/>
            </w14:solidFill>
          </w14:textFill>
        </w:rPr>
        <w:t>2</w:t>
      </w:r>
      <w:r>
        <w:rPr>
          <w:color w:val="000000" w:themeColor="text1"/>
          <w:lang w:val="en-US"/>
          <w14:textFill>
            <w14:solidFill>
              <w14:schemeClr w14:val="tx1"/>
            </w14:solidFill>
          </w14:textFill>
        </w:rPr>
        <w:t>。五强溪库区正常蓄水位108m，正常蓄水位时水库库容为29.9亿m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；死水位90m，库容9.7亿m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；库容系数为3.1%，为季调节水库。在沅陵县城至五强溪大坝之间长达80km为一大峡谷河段，正常蓄水位平均水面宽约600m，河道平均坡降0.42‰。</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蓝溪河为沅江的支流，发源于沅陵县东南部1347m的圣人山和1232m的羊皮帽，流经渭溪、张家滩、张家坪、凉水井镇和沅陵镇，于沅陵镇蓝溪口村汇入沅江，全长68km，流域面积569平方公里，干流平均坡降4.5‰（</w:t>
      </w:r>
      <w:r>
        <w:rPr>
          <w:rFonts w:hint="eastAsia"/>
          <w:color w:val="000000" w:themeColor="text1"/>
          <w:lang w:val="en-US"/>
          <w14:textFill>
            <w14:solidFill>
              <w14:schemeClr w14:val="tx1"/>
            </w14:solidFill>
          </w14:textFill>
        </w:rPr>
        <w:t>园区</w:t>
      </w:r>
      <w:r>
        <w:rPr>
          <w:color w:val="000000" w:themeColor="text1"/>
          <w:lang w:val="en-US"/>
          <w14:textFill>
            <w14:solidFill>
              <w14:schemeClr w14:val="tx1"/>
            </w14:solidFill>
          </w14:textFill>
        </w:rPr>
        <w:t>排污口以下河段坡降约0.65‰），多年平均径流量3.5亿立方，多年平均流量14.1m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/s，丰水期3</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8月的六个月径流量占全年总量的72.19%，枯水期9月至次年2月径流量占全年总量的27.81%。</w:t>
      </w:r>
      <w:r>
        <w:rPr>
          <w:rFonts w:hint="eastAsia"/>
          <w:color w:val="000000" w:themeColor="text1"/>
          <w:lang w:val="en-US"/>
          <w14:textFill>
            <w14:solidFill>
              <w14:schemeClr w14:val="tx1"/>
            </w14:solidFill>
          </w14:textFill>
        </w:rPr>
        <w:t>园区污水处理厂排污口设置在蓝溪河上。</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官庄片区</w:t>
      </w:r>
      <w:r>
        <w:rPr>
          <w:rFonts w:hint="eastAsia"/>
          <w:color w:val="000000" w:themeColor="text1"/>
          <w14:textFill>
            <w14:solidFill>
              <w14:schemeClr w14:val="tx1"/>
            </w14:solidFill>
          </w14:textFill>
        </w:rPr>
        <w:t>附近较大的河流有沃溪、怡溪。</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怡溪属沅江中游两河支流，发源于沅陵县佘家洞。怡溪宽10</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25m，坡度大，峡谷急流较多；在其下游两河口与坪溪会合后，逐渐宽敞平缓，坡度0.4%，流速较慢，汛期多出现在4~8月丰水期，9月至次年2月枯水期流量12.7m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/s，变化较稳定。</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沃溪</w:t>
      </w:r>
      <w:r>
        <w:rPr>
          <w:rFonts w:hint="eastAsia"/>
          <w:color w:val="000000" w:themeColor="text1"/>
          <w:lang w:val="en-US"/>
          <w14:textFill>
            <w14:solidFill>
              <w14:schemeClr w14:val="tx1"/>
            </w14:solidFill>
          </w14:textFill>
        </w:rPr>
        <w:t>为</w:t>
      </w:r>
      <w:r>
        <w:rPr>
          <w:rFonts w:hint="eastAsia"/>
          <w:color w:val="000000" w:themeColor="text1"/>
          <w14:textFill>
            <w14:solidFill>
              <w14:schemeClr w14:val="tx1"/>
            </w14:solidFill>
          </w14:textFill>
        </w:rPr>
        <w:t>典型山区小溪，横贯沃溪矿区中部，流向由南向北，为沃溪矿区最大的地表水流。沃溪发源于南部花岩山，通过沃溪水库、矿部及选厂东面、沃溪镇街道西侧，干流流径约6.8km，流入怡溪。沃溪宽一般5~10m，平均坡降5%，水流靠地表水供给，受降雨量控制，干旱季节流量小，据湘西金矿资料记载，在五一桥附近，沃溪平均流量0.746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/s，最大洪流量16.7m3/s，最小流量0.15m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/s，此处河床标高206m，最高洪水水位标高210m，一般标高206.1</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206.8m，水质为HCO</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-Ca-Mg型。</w:t>
      </w:r>
      <w:r>
        <w:rPr>
          <w:rFonts w:hint="eastAsia"/>
          <w:color w:val="000000" w:themeColor="text1"/>
          <w:lang w:val="en-US"/>
          <w14:textFill>
            <w14:solidFill>
              <w14:schemeClr w14:val="tx1"/>
            </w14:solidFill>
          </w14:textFill>
        </w:rPr>
        <w:t>辰洲矿业污水排污口设置在沃溪上。</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麻溪铺片区附近较大的河流有荔溪和龙门溪。</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荔溪为沅水的一级支流，发源于沅陵县南部的九龙山，流经竹园乡、坳坪乡、池坪乡、麻溪铺镇、丑溪口乡，于荔溪口汇入沅水，全长68km，流域面积336.2平方公里。荔溪麻溪铺镇段至河口距离15km，河道平均坡降13.0%0，多年平均径流量2.84亿立方米，多年平均流量9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/s，平均水宽4.92m，平均水深0.4m，平均流速4.57 m/s，枯水期平均流量1.58m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/s，枯水期水深0.07m。荔溪主要为农田灌溉和一般渔业用水。</w:t>
      </w:r>
    </w:p>
    <w:p>
      <w:pPr>
        <w:pStyle w:val="51"/>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龙门溪由北部山区雨水汇集而成，自北向南流经1.1km汇入荔溪，全长约1.6km，宽约1.2m。</w:t>
      </w:r>
      <w:r>
        <w:rPr>
          <w:rFonts w:hint="eastAsia"/>
          <w:color w:val="000000" w:themeColor="text1"/>
          <w:lang w:val="en-US"/>
          <w14:textFill>
            <w14:solidFill>
              <w14:schemeClr w14:val="tx1"/>
            </w14:solidFill>
          </w14:textFill>
        </w:rPr>
        <w:t>目前山能环保公司废水排口设置在龙门溪上。</w:t>
      </w:r>
    </w:p>
    <w:p>
      <w:pPr>
        <w:pStyle w:val="34"/>
        <w:rPr>
          <w:color w:val="000000" w:themeColor="text1"/>
          <w14:textFill>
            <w14:solidFill>
              <w14:schemeClr w14:val="tx1"/>
            </w14:solidFill>
          </w14:textFill>
        </w:rPr>
      </w:pPr>
      <w:r>
        <w:rPr>
          <w:color w:val="000000" w:themeColor="text1"/>
          <w14:textFill>
            <w14:solidFill>
              <w14:schemeClr w14:val="tx1"/>
            </w14:solidFill>
          </w14:textFill>
        </w:rPr>
        <w:t>地下水</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区域内地下水以第四系松散层孔隙水为主，含水层系第四系全新统及上更新统的砂砾石构成，地下水位埋深4~7m。地下水的补给来源主要是大气降水和两侧山地基岩裂隙水，且受季节影响较大，通过短距离径流，排泄于河流中，水力交替循环较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区内地下水主要靠大气降水补给和近源排泄。基岩裂隙水主要为大气降水补给，由于地形坡度和河网密度较大，基岩裂隙水水流坡度亦较大，径流途径短，径流和排泄条件好。地下水多以分散的泉于谷坡中、下部和谷底以下降泉形式排出地表形成溪流。</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碳酸盐岩类岩溶水主要靠大气降水通过漏斗、洼地补给，在溶洞地下河中等至强度发育地区还经常接受地表水渗入补给。</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红层孔隙裂隙水除接受大气降水渗入补给外，靠岩溶水、裂隙岩溶水和裂隙水补给，红层地下水径流条件与含水岩性的透水性有密切关系。红层地下水排泄方式有三类：一类以泉的方式集中排泄；二类为片状排泄；三类为溪河沟谷的线状排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松散岩类孔隙水补给来源于大气降水、地表水，并侧向接受高级阶地地下水的补给后在区内径流，向江、河排泄。</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植物及动物多样性</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沅陵县</w:t>
      </w:r>
      <w:r>
        <w:rPr>
          <w:rFonts w:hint="eastAsia"/>
          <w:color w:val="000000" w:themeColor="text1"/>
          <w14:textFill>
            <w14:solidFill>
              <w14:schemeClr w14:val="tx1"/>
            </w14:solidFill>
          </w14:textFill>
        </w:rPr>
        <w:t>内气候温和，雨量充沛，土壤类型多样，40.8％的山地土壤由板页岩风化而成，自然肥力较高，酸碱度适中，含有机质较多，保水保肥力较强，海拔400-600米的山地面积大，发展林业条件优越。树种繁多，有乔、灌、木质藤本植物111科，310属1004种森林植物种群，并拥有一批有待开发的经济价值很高的特有树种。全县拥有松脂资源2000多吨/年，栓皮栎、芳香油类、木本野生药材等林副产品丰富。在各种野生动物中，有药用动物100多种。</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矿产资源</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沅陵县已探明的有金、钨、铜、锑、铅锌、硫铁等20余种。已探明储量的矿种达11种，产地17处，其中大型矿床3处，中型矿床14处，已探明主要矿产有黄金、硫铁矿、铅、锌、锑、钨、铜、金刚石、重晶石、石灰石、煤、石煤等，居全国前10位的有磷矿、石煤矿，居全国前五名的有石煤矿产，主要探明的储量铁矿1.2亿吨，石灰石100亿吨，石煤400亿吨，目前正在开采的有黄金、硫铁矿、锑、钨、铜、金刚石、铅、锌、石灰石、石煤等。</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区域社会环境概况</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w:t>
      </w:r>
      <w:r>
        <w:rPr>
          <w:rFonts w:hint="eastAsia"/>
          <w:color w:val="000000" w:themeColor="text1"/>
          <w:lang w:val="en-US"/>
          <w14:textFill>
            <w14:solidFill>
              <w14:schemeClr w14:val="tx1"/>
            </w14:solidFill>
          </w14:textFill>
        </w:rPr>
        <w:t>沅陵县</w:t>
      </w:r>
      <w:r>
        <w:rPr>
          <w:rFonts w:hint="eastAsia"/>
          <w:color w:val="000000" w:themeColor="text1"/>
          <w14:textFill>
            <w14:solidFill>
              <w14:schemeClr w14:val="tx1"/>
            </w14:solidFill>
          </w14:textFill>
        </w:rPr>
        <w:t>202</w:t>
      </w:r>
      <w:r>
        <w:rPr>
          <w:rFonts w:hint="eastAsia"/>
          <w:color w:val="000000" w:themeColor="text1"/>
          <w:lang w:val="en-US"/>
          <w14:textFill>
            <w14:solidFill>
              <w14:schemeClr w14:val="tx1"/>
            </w14:solidFill>
          </w14:textFill>
        </w:rPr>
        <w:t>4</w:t>
      </w:r>
      <w:r>
        <w:rPr>
          <w:rFonts w:hint="eastAsia"/>
          <w:color w:val="000000" w:themeColor="text1"/>
          <w14:textFill>
            <w14:solidFill>
              <w14:schemeClr w14:val="tx1"/>
            </w14:solidFill>
          </w14:textFill>
        </w:rPr>
        <w:t>年国民经济和社会发展统计公报》，</w:t>
      </w:r>
      <w:r>
        <w:rPr>
          <w:rFonts w:hint="eastAsia"/>
          <w:color w:val="000000" w:themeColor="text1"/>
          <w:lang w:val="en-US"/>
          <w14:textFill>
            <w14:solidFill>
              <w14:schemeClr w14:val="tx1"/>
            </w14:solidFill>
          </w14:textFill>
        </w:rPr>
        <w:t>沅陵县</w:t>
      </w:r>
      <w:r>
        <w:rPr>
          <w:rFonts w:hint="eastAsia"/>
          <w:color w:val="000000" w:themeColor="text1"/>
          <w14:textFill>
            <w14:solidFill>
              <w14:schemeClr w14:val="tx1"/>
            </w14:solidFill>
          </w14:textFill>
        </w:rPr>
        <w:t>202</w:t>
      </w:r>
      <w:r>
        <w:rPr>
          <w:rFonts w:hint="eastAsia"/>
          <w:color w:val="000000" w:themeColor="text1"/>
          <w:lang w:val="en-US"/>
          <w14:textFill>
            <w14:solidFill>
              <w14:schemeClr w14:val="tx1"/>
            </w14:solidFill>
          </w14:textFill>
        </w:rPr>
        <w:t>4</w:t>
      </w:r>
      <w:r>
        <w:rPr>
          <w:rFonts w:hint="eastAsia"/>
          <w:color w:val="000000" w:themeColor="text1"/>
          <w14:textFill>
            <w14:solidFill>
              <w14:schemeClr w14:val="tx1"/>
            </w14:solidFill>
          </w14:textFill>
        </w:rPr>
        <w:t>年经济概况如下：</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一、综合</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地区生产总值 218.85亿元，同比增长5.4%。其中，第一产业增加值34.44亿元，同比增长2.7%；第二产业增加值83.21亿元，同比增长7.2%；第三产业增加值101.19亿元，同比增长4.8%。三次产业结构为16：38：46。按常住人口计算，全县人均地区生产总值为44365元，同比增长6.8%。</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二、农业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完成农林牧渔业总产值62.24亿元，同比增长3.9%。其中，农业产值为34.12亿元，同比增长4.7%；林业产值为6.22亿元，同比增长8.6%；牧业产值为16.49亿元，同比下降1.6%；渔业产值为4.56亿元，同比增长7.1%；农林牧渔专业及辅助性活动产值为1.09亿元，同比增长8.5%。实现农林牧渔业增加值35.14亿元，同比增长2.7%。全年粮食播种面积66.3万亩。全年粮食产量25.62万吨，其中夏粮播种面积0.92万亩，产量0.17万吨；秋粮播种面积65.38万亩，产量25.45万吨。全年生猪出栏25.44万头，猪肉产量1.93万吨；牛出栏2.39万头，牛肉产量0.29万吨；羊出栏18.16万只，羊肉产量0.3万吨；家禽出笼228.54万羽，禽肉产量0.36万吨，禽蛋产量0.5万吨。</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现有市级以上龙头企业40家，其中省级龙头企业9家；农民专业合作社有1213家，其中国家级示范社4家，省级示范社23家，市级示范社36家；家庭农场有123家，其中省级示范场19家，市级示范场36家。全县有高标准农田1147公顷。全县农作物耕种收综合机械化率57%，农业产业信息化率61%，畜禽粪污综合利用率87.8%，农膜回收率86.5%，秸秆综合利用率90.8%。全县高档优质稻面积2万亩，带动发展中高档优质稻30万亩以上，发展特色旱杂粮油22万亩以上，创建5个千亩优质稻示范片。全县现有“绿色有机地理标志”农产品28个，其中有绿色食品生产企业16家产品20个，有机食品生产企业5家产品5个，地理标志产品3个。 获批省级美丽乡村示范村（和美乡村）12个。</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三、工业和建筑业</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完成工业增加值67.86亿元，同比增长6.1%，占全县地区生产总值31%。其中制造业增加值50.27亿元，同比增长9%，占全县地区生产总值23%。规模以上工业增加值同比增长14.1%。全县建筑业增加值15.6亿元，同比增长15.1%。</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四、固定资产投资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年固定资产投资（不含农户）总额同比增长16.2%。其中，产业投资同比增长22%，占投资比重22.7%；工业技改投资同比增长32%，占投资比重32%；高新技术投资同比增长102.2%，占投资比重18.8%。民间投资同比增长17.2%，占投资比重70.9%。全年房地产投资11.26亿元，同比下降5.8%，占投资比重为8.06%。</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五、国内贸易、物价和对外经济</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完成社会消费品零售总额61.86亿元，同比增长5.4%。全年居民消费价格指数（CPI）为100.2%；服务项目价格指数为100.2%。全县共完成外贸进出口11.17亿元。全县共新签约招商引资项目30个，合同资金106.96亿元，其中合同资金10亿元以上（含）项目5个，合同资金2亿元以上10亿元以下项目14个；新引进“三类500强”企业项目3个。完成省外境内到位资金72.64亿元；完成湘商回归新注册企业13家，湘商回归投资企业到位资金31.85亿元；外资实际到位资金515万美元。</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六、财政和金融</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实现公共财政收入18.62亿元，同比下降1.02%；实现地方一般公共预算收入14.28亿元，同比增长1.2%，其中，地方税收收入9.11亿元，同比下降10.1%，税占比63.8%。全年累计公共财政预算支出47.47亿元，同比下降15.6%。</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年末全县全部金融机构本外币各项存款余额为307.4亿元，同比增长9.9%。全部金融机构本外币各项贷款余额197.3亿元，同比增长11.7%。</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全县保费收入50112.22万元，同比增长0.66%。支付各类赔款及给付25910.7万元，同比增长12.03%。</w:t>
      </w:r>
    </w:p>
    <w:p>
      <w:pPr>
        <w:pStyle w:val="28"/>
        <w:rPr>
          <w:color w:val="000000" w:themeColor="text1"/>
          <w14:textFill>
            <w14:solidFill>
              <w14:schemeClr w14:val="tx1"/>
            </w14:solidFill>
          </w14:textFill>
        </w:rPr>
      </w:pPr>
      <w:bookmarkStart w:id="41" w:name="_Toc236641280"/>
      <w:r>
        <w:rPr>
          <w:color w:val="000000" w:themeColor="text1"/>
          <w14:textFill>
            <w14:solidFill>
              <w14:schemeClr w14:val="tx1"/>
            </w14:solidFill>
          </w14:textFill>
        </w:rPr>
        <w:t>不良环境影响减缓对策措施</w:t>
      </w:r>
      <w:bookmarkEnd w:id="41"/>
    </w:p>
    <w:p>
      <w:pPr>
        <w:pStyle w:val="30"/>
        <w:rPr>
          <w:color w:val="000000" w:themeColor="text1"/>
          <w14:textFill>
            <w14:solidFill>
              <w14:schemeClr w14:val="tx1"/>
            </w14:solidFill>
          </w14:textFill>
        </w:rPr>
      </w:pPr>
      <w:bookmarkStart w:id="42" w:name="_Toc236641281"/>
      <w:r>
        <w:rPr>
          <w:color w:val="000000" w:themeColor="text1"/>
          <w14:textFill>
            <w14:solidFill>
              <w14:schemeClr w14:val="tx1"/>
            </w14:solidFill>
          </w14:textFill>
        </w:rPr>
        <w:t>资源节约措施</w:t>
      </w:r>
      <w:bookmarkEnd w:id="42"/>
    </w:p>
    <w:p>
      <w:pPr>
        <w:pStyle w:val="32"/>
        <w:rPr>
          <w:color w:val="000000" w:themeColor="text1"/>
          <w14:textFill>
            <w14:solidFill>
              <w14:schemeClr w14:val="tx1"/>
            </w14:solidFill>
          </w14:textFill>
        </w:rPr>
      </w:pPr>
      <w:r>
        <w:rPr>
          <w:color w:val="000000" w:themeColor="text1"/>
          <w14:textFill>
            <w14:solidFill>
              <w14:schemeClr w14:val="tx1"/>
            </w14:solidFill>
          </w14:textFill>
        </w:rPr>
        <w:t>土地资源节约利用</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节约集约用地，合理配置和利用土地资源，是正确处理好严格土地管理与促进经济社会发展关系的根本出路。</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（1）提高土地利用强度</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土地利用强度的提高主要途径是向空间要地，提高工业用地容积率和建筑系数。一方面，对于已建成的工业企业，园区应督促企业先利用好预留地，如缩减企业内部道路和地上停车场用地及绿地面积，除满足消防需求外，鼓励企业将大面积的停车场和绿地与周边用地进行整合，建设多（高）层厂房或者科研楼等；同时园区可引导企业对单层厂房进行加层改建。另一方面，对于新建企业，应提高规划设计条件，包括容积率和建设密度等，鼓励其建多层、高层厂房和标准厂房及地下停车场，即鼓励企业向空中和地下发展，立体化利用工业用地，以提高工业用地容积率和建筑密度，进一步提高园区综合容积率和建筑密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严把项目准入关</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应将招商引资变为招商选资，项目入区时，开发区应实行会审制，以块头大小、环境保护优先、科技含量高低、贡献率多少论优势，确保入区项目质量。结合园区的产业定位，围绕产业的主导产品及其上下游产品，引进高端产品生产技术，拉长技术链，营造主导产业，引进终端产品制造企业，形成完整产业链，并形成产业集聚，从而共同利用基础设施，提高生产效益与利润，降低生产成本，取得规模效益，进一步提高用地效益。根据产业规划的要求，核定入园项目的投资强度，对低于标准的项目，坚决不引进，引进企业达产后达不到该标准的，据实核减其供地面积，不符合供地目录和节约集约用地标准的不予供地。</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（3）集中建设多层标准厂房</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加快推进创新创业园区发展，根据湖南省人民政府《关于推进创新创业园区发展加快实施“135”工程的意见》（湘政发〔2015〕2号）要求，规范园区的厂房建设，创新园区的管理机制，加大政策扶持力度。如鼓励企业通过设备更新、工艺改造等技术创新途径上项目、扩规模，引导工业企业采取压缩超标的绿地面积和辅助设施用地、扩大生产性用房、老厂房改造等措施向“空中要地”、向“间隙要地”，对企业在原有用地基础上建设3层以上标准厂房的按增资规模给予分层级财政奖励，充分调动企业“增资不增地”的积极性。</w:t>
      </w:r>
    </w:p>
    <w:p>
      <w:pPr>
        <w:pStyle w:val="32"/>
        <w:rPr>
          <w:color w:val="000000" w:themeColor="text1"/>
          <w14:textFill>
            <w14:solidFill>
              <w14:schemeClr w14:val="tx1"/>
            </w14:solidFill>
          </w14:textFill>
        </w:rPr>
      </w:pPr>
      <w:r>
        <w:rPr>
          <w:color w:val="000000" w:themeColor="text1"/>
          <w14:textFill>
            <w14:solidFill>
              <w14:schemeClr w14:val="tx1"/>
            </w14:solidFill>
          </w14:textFill>
        </w:rPr>
        <w:t>水资源节约利用</w:t>
      </w:r>
    </w:p>
    <w:p>
      <w:pPr>
        <w:pStyle w:val="51"/>
        <w:ind w:firstLine="480"/>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园区应严格控制高耗水项目，积极推进现有企业开展以节水为重点内容的绿色高质量转型升级，加快形成节水型生产方式；</w:t>
      </w:r>
      <w:r>
        <w:rPr>
          <w:rFonts w:hint="eastAsia"/>
          <w:color w:val="000000" w:themeColor="text1"/>
          <w:shd w:val="clear" w:color="auto" w:fill="FFFFFF"/>
          <w14:textFill>
            <w14:solidFill>
              <w14:schemeClr w14:val="tx1"/>
            </w14:solidFill>
          </w14:textFill>
        </w:rPr>
        <w:t>各企业的水耗、重复利用率等指标必须达到同行业国内先进水平，鼓励企业采取有效措施，尽可能提高水的重复利用率。</w:t>
      </w:r>
    </w:p>
    <w:p>
      <w:pPr>
        <w:pStyle w:val="51"/>
        <w:ind w:firstLine="480"/>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园区应根据产业发展的不同阶段，建立水资源刚性约束制度，通过强有力的约束，把经济社会活动限定在水资源的承载能力之内。通过指标严控用水总量，提高用水效率，提升水生态系统的质量和稳定性。这些指标有万元国内生产总值用水量、强制性用水标准和定额等。</w:t>
      </w:r>
    </w:p>
    <w:p>
      <w:pPr>
        <w:pStyle w:val="51"/>
        <w:ind w:firstLine="480"/>
        <w:rPr>
          <w:color w:val="000000" w:themeColor="text1"/>
          <w:shd w:val="clear" w:color="auto" w:fill="FFFFFF"/>
          <w14:textFill>
            <w14:solidFill>
              <w14:schemeClr w14:val="tx1"/>
            </w14:solidFill>
          </w14:textFill>
        </w:rPr>
      </w:pPr>
      <w:r>
        <w:rPr>
          <w:rFonts w:hint="eastAsia"/>
          <w:color w:val="000000" w:themeColor="text1"/>
          <w:shd w:val="clear" w:color="auto" w:fill="FFFFFF"/>
          <w14:textFill>
            <w14:solidFill>
              <w14:schemeClr w14:val="tx1"/>
            </w14:solidFill>
          </w14:textFill>
        </w:rPr>
        <w:t>规划实施过程中应积极探索利用雨水、再生水等非常规水资源，对园林绿化、洗车、道路浇洒、建筑施工等一些水质要求较低的用水环节，建议优先使用雨水、再生水。</w:t>
      </w:r>
    </w:p>
    <w:p>
      <w:pPr>
        <w:pStyle w:val="32"/>
        <w:rPr>
          <w:color w:val="000000" w:themeColor="text1"/>
          <w14:textFill>
            <w14:solidFill>
              <w14:schemeClr w14:val="tx1"/>
            </w14:solidFill>
          </w14:textFill>
        </w:rPr>
      </w:pPr>
      <w:r>
        <w:rPr>
          <w:color w:val="000000" w:themeColor="text1"/>
          <w14:textFill>
            <w14:solidFill>
              <w14:schemeClr w14:val="tx1"/>
            </w14:solidFill>
          </w14:textFill>
        </w:rPr>
        <w:t>能源节约利用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（1）结构节能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园区目前能源结构以天然气和电能为主，园区能源结构基本较好。园区目前分布式光伏发电项目已有一定的基础，“十</w:t>
      </w:r>
      <w:r>
        <w:rPr>
          <w:rFonts w:hint="eastAsia"/>
          <w:color w:val="000000" w:themeColor="text1"/>
          <w:lang w:val="en-US"/>
          <w14:textFill>
            <w14:solidFill>
              <w14:schemeClr w14:val="tx1"/>
            </w14:solidFill>
          </w14:textFill>
        </w:rPr>
        <w:t>五</w:t>
      </w:r>
      <w:r>
        <w:rPr>
          <w:rFonts w:hint="eastAsia"/>
          <w:color w:val="000000" w:themeColor="text1"/>
          <w14:textFill>
            <w14:solidFill>
              <w14:schemeClr w14:val="tx1"/>
            </w14:solidFill>
          </w14:textFill>
        </w:rPr>
        <w:t>五”期间，园区也需要引导和支持有条件的企业积极开发建设工商业分布式光伏电站，持续有效降低企业用电成本，激发企业发展活力。鼓励企业提高分布式光伏电站自发自用电量比例。</w:t>
      </w:r>
      <w:r>
        <w:rPr>
          <w:color w:val="000000" w:themeColor="text1"/>
          <w14:textFill>
            <w14:solidFill>
              <w14:schemeClr w14:val="tx1"/>
            </w14:solidFill>
          </w14:textFill>
        </w:rPr>
        <w:t>建筑设计和旧建筑改造中统筹考虑光伏发电应用，按照光伏建筑一体化要求进行设计和建设；积极发展和应用融合先进储能技术、信息技术的微电网和智能电网技术，提高电网系统接纳光伏发电的能力。</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（2）技术节能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区域内企业和单位在设计及实施过程中，应按照国家和省相关节能产品导向目录的要求，选择先进的节能、环保设备，完善能源计量装置配备，加强能耗计量与考核。对能源审计过程中发现的问题，及时予以改进和优化。</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3</w:t>
      </w:r>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探索绿电直连</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近期，国家发展和改革委和国家能源局发布《有序推动多用户绿色电力直联发展通告》，进一步推动新能源消费，推动能源电力领域新模式、新商业模式和情景的创新发展。今年的公告明确指出，风能、太阳能、生物质发电及其他新能源发电将通过专用线路和变电站设施向多用户供应绿色电力，实现供电的清晰可追溯性和分配。</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目前工业园区占中国总能源消费的66%以上。未来，双碳排放控制政策将逐步覆盖更多高能负行业，推动重点产业企业、工业园区和零碳园区之间的多用户绿色电力直连，有助于扩大新能源的开发和利用空间，推动中国实现“双碳”目标。</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绿电直连有利于</w:t>
      </w:r>
      <w:r>
        <w:rPr>
          <w:rFonts w:hint="eastAsia"/>
          <w:color w:val="000000" w:themeColor="text1"/>
          <w14:textFill>
            <w14:solidFill>
              <w14:schemeClr w14:val="tx1"/>
            </w14:solidFill>
          </w14:textFill>
        </w:rPr>
        <w:t>打造“绿色招商”新名片，提升园区竞争力；绿电可优先覆盖产业链上下游，实现整体降碳，提升整个产业集群的绿色竞争力；园区通过专线直接从新能源项目获取绿电，为园区提供稳定、可溯源的绿色电力保障；通过物理直连和优化计价，形成系统性降本路径。多用户分摊投资，使中小企业也能享受低价绿电。</w:t>
      </w:r>
    </w:p>
    <w:p>
      <w:pPr>
        <w:pStyle w:val="32"/>
        <w:rPr>
          <w:color w:val="000000" w:themeColor="text1"/>
          <w14:textFill>
            <w14:solidFill>
              <w14:schemeClr w14:val="tx1"/>
            </w14:solidFill>
          </w14:textFill>
        </w:rPr>
      </w:pPr>
      <w:r>
        <w:rPr>
          <w:color w:val="000000" w:themeColor="text1"/>
          <w14:textFill>
            <w14:solidFill>
              <w14:schemeClr w14:val="tx1"/>
            </w14:solidFill>
          </w14:textFill>
        </w:rPr>
        <w:t>园区层面环境风险管理</w:t>
      </w:r>
    </w:p>
    <w:p>
      <w:pPr>
        <w:pStyle w:val="34"/>
        <w:rPr>
          <w:color w:val="000000" w:themeColor="text1"/>
          <w14:textFill>
            <w14:solidFill>
              <w14:schemeClr w14:val="tx1"/>
            </w14:solidFill>
          </w14:textFill>
        </w:rPr>
      </w:pPr>
      <w:r>
        <w:rPr>
          <w:color w:val="000000" w:themeColor="text1"/>
          <w14:textFill>
            <w14:solidFill>
              <w14:schemeClr w14:val="tx1"/>
            </w14:solidFill>
          </w14:textFill>
        </w:rPr>
        <w:t>建立健全突发环境事故应急机制</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w:t>
      </w:r>
      <w:r>
        <w:rPr>
          <w:rFonts w:hint="eastAsia"/>
          <w:color w:val="000000" w:themeColor="text1"/>
          <w14:textFill>
            <w14:solidFill>
              <w14:schemeClr w14:val="tx1"/>
            </w14:solidFill>
          </w14:textFill>
        </w:rPr>
        <w:t>已</w:t>
      </w:r>
      <w:r>
        <w:rPr>
          <w:color w:val="000000" w:themeColor="text1"/>
          <w14:textFill>
            <w14:solidFill>
              <w14:schemeClr w14:val="tx1"/>
            </w14:solidFill>
          </w14:textFill>
        </w:rPr>
        <w:t>编制突发环境事件应急预案，</w:t>
      </w:r>
      <w:r>
        <w:rPr>
          <w:rFonts w:hint="eastAsia"/>
          <w:color w:val="000000" w:themeColor="text1"/>
          <w14:textFill>
            <w14:solidFill>
              <w14:schemeClr w14:val="tx1"/>
            </w14:solidFill>
          </w14:textFill>
        </w:rPr>
        <w:t>按要求</w:t>
      </w:r>
      <w:r>
        <w:rPr>
          <w:color w:val="000000" w:themeColor="text1"/>
          <w14:textFill>
            <w14:solidFill>
              <w14:schemeClr w14:val="tx1"/>
            </w14:solidFill>
          </w14:textFill>
        </w:rPr>
        <w:t>成立突发环境事件应急指挥中心。</w:t>
      </w:r>
      <w:r>
        <w:rPr>
          <w:rFonts w:hint="eastAsia"/>
          <w:color w:val="000000" w:themeColor="text1"/>
          <w14:textFill>
            <w14:solidFill>
              <w14:schemeClr w14:val="tx1"/>
            </w14:solidFill>
          </w14:textFill>
        </w:rPr>
        <w:t>园区应</w:t>
      </w:r>
      <w:r>
        <w:rPr>
          <w:color w:val="000000" w:themeColor="text1"/>
          <w14:textFill>
            <w14:solidFill>
              <w14:schemeClr w14:val="tx1"/>
            </w14:solidFill>
          </w14:textFill>
        </w:rPr>
        <w:t>加强园区风险管理与事故应急防范工作，加强应急救援</w:t>
      </w:r>
      <w:r>
        <w:rPr>
          <w:rFonts w:hint="eastAsia"/>
          <w:color w:val="000000" w:themeColor="text1"/>
          <w14:textFill>
            <w14:solidFill>
              <w14:schemeClr w14:val="tx1"/>
            </w14:solidFill>
          </w14:textFill>
        </w:rPr>
        <w:t>队伍</w:t>
      </w:r>
      <w:r>
        <w:rPr>
          <w:color w:val="000000" w:themeColor="text1"/>
          <w14:textFill>
            <w14:solidFill>
              <w14:schemeClr w14:val="tx1"/>
            </w14:solidFill>
          </w14:textFill>
        </w:rPr>
        <w:t>、风险监控体系建设、定期开展应急演练、储备必要的应急物资等工作的建设，全面提升园区风险防控和事故应急处置能力，建立污染源头、过程处理和最终排放的“三级防控”机制，确保园区各企业或在园区公共区域内突发环境事件发生后，能及时有效地调配各种应急资源，实施应急救援，最大限度地阻止和控制污染向周围环境进一步扩散，最大可能避免对公共环境造成的污染。</w:t>
      </w:r>
    </w:p>
    <w:p>
      <w:pPr>
        <w:pStyle w:val="34"/>
        <w:rPr>
          <w:color w:val="000000" w:themeColor="text1"/>
          <w14:textFill>
            <w14:solidFill>
              <w14:schemeClr w14:val="tx1"/>
            </w14:solidFill>
          </w14:textFill>
        </w:rPr>
      </w:pPr>
      <w:r>
        <w:rPr>
          <w:color w:val="000000" w:themeColor="text1"/>
          <w14:textFill>
            <w14:solidFill>
              <w14:schemeClr w14:val="tx1"/>
            </w14:solidFill>
          </w14:textFill>
        </w:rPr>
        <w:t>建立环境风险预警体系</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w:t>
      </w:r>
      <w:r>
        <w:rPr>
          <w:color w:val="000000" w:themeColor="text1"/>
          <w14:textFill>
            <w14:solidFill>
              <w14:schemeClr w14:val="tx1"/>
            </w14:solidFill>
          </w14:textFill>
        </w:rPr>
        <w:t>在后续发展过程中，</w:t>
      </w:r>
      <w:r>
        <w:rPr>
          <w:rFonts w:hint="eastAsia"/>
          <w:color w:val="000000" w:themeColor="text1"/>
          <w14:textFill>
            <w14:solidFill>
              <w14:schemeClr w14:val="tx1"/>
            </w14:solidFill>
          </w14:textFill>
        </w:rPr>
        <w:t>园区</w:t>
      </w:r>
      <w:r>
        <w:rPr>
          <w:color w:val="000000" w:themeColor="text1"/>
          <w14:textFill>
            <w14:solidFill>
              <w14:schemeClr w14:val="tx1"/>
            </w14:solidFill>
          </w14:textFill>
        </w:rPr>
        <w:t>应</w:t>
      </w:r>
      <w:r>
        <w:rPr>
          <w:rFonts w:hint="eastAsia"/>
          <w:color w:val="000000" w:themeColor="text1"/>
          <w14:textFill>
            <w14:solidFill>
              <w14:schemeClr w14:val="tx1"/>
            </w14:solidFill>
          </w14:textFill>
        </w:rPr>
        <w:t>不断完善应急管理平台</w:t>
      </w:r>
      <w:r>
        <w:rPr>
          <w:color w:val="000000" w:themeColor="text1"/>
          <w14:textFill>
            <w14:solidFill>
              <w14:schemeClr w14:val="tx1"/>
            </w14:solidFill>
          </w14:textFill>
        </w:rPr>
        <w:t>。建立起园区与企业、企业与企业之间的信息互联、资源互通、工作互动机制，确保重大风险源的可知、可控、可溯源，满足科学监管的需要。提高园区环境风险源头预防预警能力，降低事故概率，实现第一时间发现、第一时间预警、第一时间响应，减少损失，切实保障群众生命安全，为</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的可持续发展提供保障。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首先，在摸清周围敏感目标及环境风险源的条件下，应根据多年风向玫瑰图、地形地貌等条件，在重点风险源附近的厂界布设环境风险预警站点，在靠近敏感点，选择合适的位置布设环境敏感站点，实时监测园区内大气有毒有害气体、气象参数信息。</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其次，建立环境风险预警信息系统平台，健全环境风险单位信息库，包括园区内企业及危险源信息数据库、园区内危险源全覆盖的可视化监控系统、各站点基本信息，还需预留安全生产接口、入河排污口等，便于后续统一管理。通过信息化网络，将开发区内企业危险化学品储存和使用量等危险源信息动态以及相应的应急预案采集并建立数据库，结合网络化的地理信息系统技术，在电子地图上方便、</w:t>
      </w:r>
      <w:r>
        <w:rPr>
          <w:rFonts w:hint="eastAsia"/>
          <w:color w:val="000000" w:themeColor="text1"/>
          <w14:textFill>
            <w14:solidFill>
              <w14:schemeClr w14:val="tx1"/>
            </w14:solidFill>
          </w14:textFill>
        </w:rPr>
        <w:t>快捷地</w:t>
      </w:r>
      <w:r>
        <w:rPr>
          <w:color w:val="000000" w:themeColor="text1"/>
          <w14:textFill>
            <w14:solidFill>
              <w14:schemeClr w14:val="tx1"/>
            </w14:solidFill>
          </w14:textFill>
        </w:rPr>
        <w:t>显示危险源、重大事故隐患的地理分布、总体概况以及发生事故时的抢险、应急救援预案等信息。</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再次，加快自动监测预警网络建设，建设园区危险源和环境监测信号传输系统，将园区内企业涉及重大危险源的生产装置、储存区视频监控联网，实时、动态掌握企业实际安全运行状态，以信息化手段促进企业提高对风险的全过程、动态管理能力，以便及时、动态发现并采取不同级别的处理方式处置异常情况，防范事故发生。</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最后，配套制度建设。包括预警发布配套制度、关联应急预案制度、应急保障制度等。预警发布配套制度应具备预警阈值管理功能，具备污染物种类、浓度数据、影响范围和预警等级的分析功能，应能通过多种方式报警，并能显示预警相关信息；相应配套的应急预案</w:t>
      </w:r>
      <w:r>
        <w:rPr>
          <w:rFonts w:hint="eastAsia"/>
          <w:color w:val="000000" w:themeColor="text1"/>
          <w14:textFill>
            <w14:solidFill>
              <w14:schemeClr w14:val="tx1"/>
            </w14:solidFill>
          </w14:textFill>
        </w:rPr>
        <w:t>响应</w:t>
      </w:r>
      <w:r>
        <w:rPr>
          <w:color w:val="000000" w:themeColor="text1"/>
          <w14:textFill>
            <w14:solidFill>
              <w14:schemeClr w14:val="tx1"/>
            </w14:solidFill>
          </w14:textFill>
        </w:rPr>
        <w:t>措施应包括数据异常后的具体措施，明确报警后的应急事件上报程序，应急预案</w:t>
      </w:r>
      <w:r>
        <w:rPr>
          <w:rFonts w:hint="eastAsia"/>
          <w:color w:val="000000" w:themeColor="text1"/>
          <w14:textFill>
            <w14:solidFill>
              <w14:schemeClr w14:val="tx1"/>
            </w14:solidFill>
          </w14:textFill>
        </w:rPr>
        <w:t>启动</w:t>
      </w:r>
      <w:r>
        <w:rPr>
          <w:color w:val="000000" w:themeColor="text1"/>
          <w14:textFill>
            <w14:solidFill>
              <w14:schemeClr w14:val="tx1"/>
            </w14:solidFill>
          </w14:textFill>
        </w:rPr>
        <w:t>后的辅助决策等内容；环境风险应急保障体系，包括从人力、物力、财力、交通运输、医疗卫生、通信及安全保障等各方面入手，特别应强化大型焦化及现代煤化工行业的专业消防队伍建设，建设高效的开发区应急救援队伍。同时还要有配套的管理要求和运行技术要求。</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环境风险预警体系明晰园区企业特征污染物排放及扩散规律，确保重大风险源的可知、可控、可溯源，满足科学监管的需要；提高园区环境风险源头预防预警能力，降低事故概率，实现“第一时间发现、第一时间预警、第一时间响应”，减少损失，切实保障群众生命安全，为园区的可持续发展提供保障。</w:t>
      </w:r>
    </w:p>
    <w:p>
      <w:pPr>
        <w:pStyle w:val="34"/>
        <w:rPr>
          <w:color w:val="000000" w:themeColor="text1"/>
          <w14:textFill>
            <w14:solidFill>
              <w14:schemeClr w14:val="tx1"/>
            </w14:solidFill>
          </w14:textFill>
        </w:rPr>
      </w:pPr>
      <w:r>
        <w:rPr>
          <w:color w:val="000000" w:themeColor="text1"/>
          <w14:textFill>
            <w14:solidFill>
              <w14:schemeClr w14:val="tx1"/>
            </w14:solidFill>
          </w14:textFill>
        </w:rPr>
        <w:t>建立环境风险应急体系</w:t>
      </w:r>
    </w:p>
    <w:p>
      <w:pPr>
        <w:pStyle w:val="51"/>
        <w:numPr>
          <w:ilvl w:val="0"/>
          <w:numId w:val="11"/>
        </w:numPr>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单元-企业-园区</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开发区内企业环境风险防控一般采用“单元-企业-园区”三级防控体系，即车间级、厂区级和园区。企业发生车间级突发环境事件，如污染物泄漏至车间地面、围堰、罐区防火堤等事件时，启动企业Ⅲ级应急响应，由企业应急领导小组负责应急处置；企业发生厂区级突发环境事件，如污染物泄漏至车间外厂区内，可以被控制在应急事故池、拦污坝及配套设施等，不会对厂区外环境造成影响时，企业启动企业II级应急响应，由企业应急领导小组负责应急处置；企业发生厂区级突发环境事件，污染物已无法控制在厂区范围内，即将或已经泄漏至厂区外时，企业启动企业I级应急响应，同时，开发区启动突发环境事件应急预案。</w:t>
      </w:r>
    </w:p>
    <w:p>
      <w:pPr>
        <w:pStyle w:val="51"/>
        <w:numPr>
          <w:ilvl w:val="0"/>
          <w:numId w:val="11"/>
        </w:numPr>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企业-园区-地方政府</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开发区依据事故严重程度、影响范围和事故单位、对事态控制的能力，</w:t>
      </w:r>
      <w:r>
        <w:rPr>
          <w:rFonts w:hint="eastAsia"/>
          <w:color w:val="000000" w:themeColor="text1"/>
          <w:lang w:val="en-US"/>
          <w14:textFill>
            <w14:solidFill>
              <w14:schemeClr w14:val="tx1"/>
            </w14:solidFill>
          </w14:textFill>
        </w:rPr>
        <w:t>建立“企业-园区-地方政府”三级应急响应体系。</w:t>
      </w:r>
      <w:r>
        <w:rPr>
          <w:rFonts w:hint="eastAsia"/>
          <w:color w:val="000000" w:themeColor="text1"/>
          <w14:textFill>
            <w14:solidFill>
              <w14:schemeClr w14:val="tx1"/>
            </w14:solidFill>
          </w14:textFill>
        </w:rPr>
        <w:t>不同级别响应程序和内容不同。按照分级响应的原则，确定不同级别的现场负责人，指挥调度应急救援工作和开展事件应急响应。超出本级应急处置能力时，应及时请求上一级应急救援指挥机构启动上一级应急预案。</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a）一级响应（流域级）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发生重特大突发环境事件时，开发区应急指挥中心应第一时间上报</w:t>
      </w:r>
      <w:r>
        <w:rPr>
          <w:rFonts w:hint="eastAsia"/>
          <w:color w:val="000000" w:themeColor="text1"/>
          <w:lang w:val="en-US"/>
          <w14:textFill>
            <w14:solidFill>
              <w14:schemeClr w14:val="tx1"/>
            </w14:solidFill>
          </w14:textFill>
        </w:rPr>
        <w:t>怀化市</w:t>
      </w:r>
      <w:r>
        <w:rPr>
          <w:rFonts w:hint="eastAsia"/>
          <w:color w:val="000000" w:themeColor="text1"/>
          <w14:textFill>
            <w14:solidFill>
              <w14:schemeClr w14:val="tx1"/>
            </w14:solidFill>
          </w14:textFill>
        </w:rPr>
        <w:t>应急管理局，启动上级政府环境突发事件应急预案，</w:t>
      </w:r>
      <w:r>
        <w:rPr>
          <w:rFonts w:hint="eastAsia"/>
          <w:color w:val="000000" w:themeColor="text1"/>
          <w:lang w:val="en-US"/>
          <w14:textFill>
            <w14:solidFill>
              <w14:schemeClr w14:val="tx1"/>
            </w14:solidFill>
          </w14:textFill>
        </w:rPr>
        <w:t>怀化市</w:t>
      </w:r>
      <w:r>
        <w:rPr>
          <w:rFonts w:hint="eastAsia"/>
          <w:color w:val="000000" w:themeColor="text1"/>
          <w14:textFill>
            <w14:solidFill>
              <w14:schemeClr w14:val="tx1"/>
            </w14:solidFill>
          </w14:textFill>
        </w:rPr>
        <w:t>应急领导小组迅速赴现场进行指导和支援。与此同时，开发区应急领导小组及下设的职能小组应立即奔赴事件现场，成立现场应急指挥部，先行开展应急救援工作，等待上级政府派遣应急救援队伍增援。上级政府应急救援队伍抵达现场后，现场应急指挥机构应移交上级政府指挥部人员指挥，并介绍事故情况和已采取的应急措施，开发区应急领导小组配合协助应急指挥与处置。</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b）二级响应（园区级）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发生较大突发环境事件时，事件发生企事业单位应第一时间上报开发区应急领导小组，提请开发区应急领导小组启动</w:t>
      </w:r>
      <w:r>
        <w:rPr>
          <w:rFonts w:hint="eastAsia"/>
          <w:color w:val="000000" w:themeColor="text1"/>
          <w:lang w:val="en-US"/>
          <w14:textFill>
            <w14:solidFill>
              <w14:schemeClr w14:val="tx1"/>
            </w14:solidFill>
          </w14:textFill>
        </w:rPr>
        <w:t>园区</w:t>
      </w:r>
      <w:r>
        <w:rPr>
          <w:rFonts w:hint="eastAsia"/>
          <w:color w:val="000000" w:themeColor="text1"/>
          <w14:textFill>
            <w14:solidFill>
              <w14:schemeClr w14:val="tx1"/>
            </w14:solidFill>
          </w14:textFill>
        </w:rPr>
        <w:t>应急预案，开发区应急救援队伍应立即赶赴事件现场指导和支援。同时，事件发生企事业单位应急救援队伍应先行开展应急救援工作，等待开发区应急救援队伍增援。开发区内应急领导小组抵达现场后，企事业单位现场应急指挥部应移交园区内应急领导小组指挥，并介绍事故情况和已采取的应急措施，企事业单位应急救援队伍配合协助应急指挥与处置。</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c）三级响应（企业级）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发生一般突发环境事件时，事件发生单位按照有关规定，上报开发区应急领导小组请示后，启动本单位相应应急预案，并组织指挥本单位各方面力量处置救援，必要时，报请园内应急领导小组给予支援。</w:t>
      </w:r>
    </w:p>
    <w:p>
      <w:pPr>
        <w:pStyle w:val="51"/>
        <w:ind w:firstLine="480"/>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3</w:t>
      </w:r>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应急体系的衔接</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企业编制的突发环境事件应急预案作为园区应急预案体系中的一部分，用于指导各企业突发环境事件的预警和响应，企业突发环境事件事态较严重（对应企业应急预案中的一级预警及响应、超出厂界的二级预警及响应）与园区应急预案相对应。园区管委会需协调合理利用园区内各企业应急力量和应急资源对园区突发环境事件进行处置工作。</w:t>
      </w:r>
    </w:p>
    <w:p>
      <w:pPr>
        <w:pStyle w:val="34"/>
        <w:rPr>
          <w:color w:val="000000" w:themeColor="text1"/>
          <w14:textFill>
            <w14:solidFill>
              <w14:schemeClr w14:val="tx1"/>
            </w14:solidFill>
          </w14:textFill>
        </w:rPr>
      </w:pPr>
      <w:r>
        <w:rPr>
          <w:color w:val="000000" w:themeColor="text1"/>
          <w14:textFill>
            <w14:solidFill>
              <w14:schemeClr w14:val="tx1"/>
            </w14:solidFill>
          </w14:textFill>
        </w:rPr>
        <w:t>加强危险化学品和风险源管理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园区应建立风险物质动态管理信息库，加强危险性物质和风险源管理。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1、建立危险物质动态管理信息库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建立园区</w:t>
      </w:r>
      <w:r>
        <w:rPr>
          <w:rFonts w:hint="eastAsia"/>
          <w:color w:val="000000" w:themeColor="text1"/>
          <w14:textFill>
            <w14:solidFill>
              <w14:schemeClr w14:val="tx1"/>
            </w14:solidFill>
          </w14:textFill>
        </w:rPr>
        <w:t>危险</w:t>
      </w:r>
      <w:r>
        <w:rPr>
          <w:color w:val="000000" w:themeColor="text1"/>
          <w14:textFill>
            <w14:solidFill>
              <w14:schemeClr w14:val="tx1"/>
            </w14:solidFill>
          </w14:textFill>
        </w:rPr>
        <w:t>物质动态管理信息库，对危险物质分成易燃易爆类、有毒有害类和兼具易燃易爆有毒有害类三类，分类管理。按各类危险物质危险级别及使用量，建立重点监控管理的危险物质管理程序。</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2、建立重点风险源动态管理信息库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建立园区重点风险源动态管理信息库，按生产设施涉及的危险物质危险性级别及生产设施规模，将潜在环境风险危害大的生产设施列为重点监控管理对象。</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在这些重点监控对象的储存区和生产区安装摄像头，进行24小时不间断监视；在危险性物质储存聚集区域，安装毒性或易燃易爆气体自动在线浓度</w:t>
      </w:r>
      <w:r>
        <w:rPr>
          <w:rFonts w:hint="eastAsia"/>
          <w:color w:val="000000" w:themeColor="text1"/>
          <w14:textFill>
            <w14:solidFill>
              <w14:schemeClr w14:val="tx1"/>
            </w14:solidFill>
          </w14:textFill>
        </w:rPr>
        <w:t>监测仪</w:t>
      </w:r>
      <w:r>
        <w:rPr>
          <w:color w:val="000000" w:themeColor="text1"/>
          <w14:textFill>
            <w14:solidFill>
              <w14:schemeClr w14:val="tx1"/>
            </w14:solidFill>
          </w14:textFill>
        </w:rPr>
        <w:t>，及时发现事故隐患；同时作业人员应随</w:t>
      </w:r>
      <w:r>
        <w:rPr>
          <w:rFonts w:hint="eastAsia"/>
          <w:color w:val="000000" w:themeColor="text1"/>
          <w14:textFill>
            <w14:solidFill>
              <w14:schemeClr w14:val="tx1"/>
            </w14:solidFill>
          </w14:textFill>
        </w:rPr>
        <w:t>时使</w:t>
      </w:r>
      <w:r>
        <w:rPr>
          <w:color w:val="000000" w:themeColor="text1"/>
          <w14:textFill>
            <w14:solidFill>
              <w14:schemeClr w14:val="tx1"/>
            </w14:solidFill>
          </w14:textFill>
        </w:rPr>
        <w:t>用便携式泄漏感应器对厂区内危险性物质进行检查。</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3、建立环境风险救援力量管理信息库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建立园区内外环境风险救援力量管理库，以及区内各企业救援力量（包括各企业应急救援物资和设备名称、数量、型号大小、存放地点、负责人及调动方式）信息库以便发生环境风险事故时查询。</w:t>
      </w:r>
    </w:p>
    <w:p>
      <w:pPr>
        <w:pStyle w:val="32"/>
        <w:rPr>
          <w:color w:val="000000" w:themeColor="text1"/>
          <w14:textFill>
            <w14:solidFill>
              <w14:schemeClr w14:val="tx1"/>
            </w14:solidFill>
          </w14:textFill>
        </w:rPr>
      </w:pPr>
      <w:r>
        <w:rPr>
          <w:color w:val="000000" w:themeColor="text1"/>
          <w14:textFill>
            <w14:solidFill>
              <w14:schemeClr w14:val="tx1"/>
            </w14:solidFill>
          </w14:textFill>
        </w:rPr>
        <w:t>企业层面环境风险管理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园区入园企业建立各自的风险防范措施，完善事故风险防范体系。为最大限度降低事故发生概率，园区企业应从选址、总图布置、贮运、生产工艺、自控设计、设备、管理等方面采取全方位的安全风险防范措施。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园区内入驻企业应严格</w:t>
      </w:r>
      <w:r>
        <w:rPr>
          <w:rFonts w:hint="eastAsia"/>
          <w:color w:val="000000" w:themeColor="text1"/>
          <w14:textFill>
            <w14:solidFill>
              <w14:schemeClr w14:val="tx1"/>
            </w14:solidFill>
          </w14:textFill>
        </w:rPr>
        <w:t>按照</w:t>
      </w:r>
      <w:r>
        <w:rPr>
          <w:color w:val="000000" w:themeColor="text1"/>
          <w14:textFill>
            <w14:solidFill>
              <w14:schemeClr w14:val="tx1"/>
            </w14:solidFill>
          </w14:textFill>
        </w:rPr>
        <w:t>《突发事件应急预案管理办法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企业突发环境事件风险评估指南（试行）》等文件规定开展应急预案的编制、评估、发布、备案、演练工作，配备相应的应急设施与物资，并及时修编。</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园区涉及环境风险物质的企业应按相关要求设置围堰、应急事故池、专用排污沟/管、清洁下水排放切换阀门、雨水总排口关闭闸阀、生产废水总排口关闭闸阀、采取相应地面防渗处理等措施。</w:t>
      </w:r>
    </w:p>
    <w:p>
      <w:pPr>
        <w:pStyle w:val="32"/>
        <w:rPr>
          <w:color w:val="000000" w:themeColor="text1"/>
          <w14:textFill>
            <w14:solidFill>
              <w14:schemeClr w14:val="tx1"/>
            </w14:solidFill>
          </w14:textFill>
        </w:rPr>
      </w:pPr>
      <w:r>
        <w:rPr>
          <w:color w:val="000000" w:themeColor="text1"/>
          <w14:textFill>
            <w14:solidFill>
              <w14:schemeClr w14:val="tx1"/>
            </w14:solidFill>
          </w14:textFill>
        </w:rPr>
        <w:t>地表水风险防范措施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园区按照水环境风险三级防控体系管理。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（1）一级防控措施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企业自建的初期雨水收集池、围堰和事故水收集池。</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在生产装置区设置初期雨水池、事故池，以确保各生产装置初期雨水、泄漏事故或非正常排放废水进入该事故池临时收集；</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各罐区周围设有防火堤或围堰，可收集泄漏物料，防止其四处溢散，同时可收集初期雨水和部分消防或喷淋事故水。然后将初期雨水池或围堰内的事故废水分批打到</w:t>
      </w:r>
      <w:r>
        <w:rPr>
          <w:rFonts w:hint="eastAsia"/>
          <w:color w:val="000000" w:themeColor="text1"/>
          <w14:textFill>
            <w14:solidFill>
              <w14:schemeClr w14:val="tx1"/>
            </w14:solidFill>
          </w14:textFill>
        </w:rPr>
        <w:t>企业</w:t>
      </w:r>
      <w:r>
        <w:rPr>
          <w:color w:val="000000" w:themeColor="text1"/>
          <w14:textFill>
            <w14:solidFill>
              <w14:schemeClr w14:val="tx1"/>
            </w14:solidFill>
          </w14:textFill>
        </w:rPr>
        <w:t>的污水处理系统进行处理，达标后排</w:t>
      </w:r>
      <w:r>
        <w:rPr>
          <w:rFonts w:hint="eastAsia"/>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应急救援过程中将产生大量的消防灭火废水或喷淋水，事故废水可沿事故水管网进入厂区事故池，然后分批</w:t>
      </w:r>
      <w:r>
        <w:rPr>
          <w:rFonts w:hint="eastAsia"/>
          <w:color w:val="000000" w:themeColor="text1"/>
          <w14:textFill>
            <w14:solidFill>
              <w14:schemeClr w14:val="tx1"/>
            </w14:solidFill>
          </w14:textFill>
        </w:rPr>
        <w:t>排到</w:t>
      </w:r>
      <w:r>
        <w:rPr>
          <w:color w:val="000000" w:themeColor="text1"/>
          <w14:textFill>
            <w14:solidFill>
              <w14:schemeClr w14:val="tx1"/>
            </w14:solidFill>
          </w14:textFill>
        </w:rPr>
        <w:t>厂内的污水处理系统进行处理，达标后排放。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入园企业通过一级防控措施将事故水控制在厂区内，保证事故废水不直接出厂。</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（2）二级防控措施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r>
        <w:rPr>
          <w:color w:val="000000" w:themeColor="text1"/>
          <w14:textFill>
            <w14:solidFill>
              <w14:schemeClr w14:val="tx1"/>
            </w14:solidFill>
          </w14:textFill>
        </w:rPr>
        <w:t>园区的事故池，建立园区事故池和污水处理厂之间的应急响应制度。若发生极端事故情况，园区多企业装置同时发生火灾、爆炸事故，则可能导致本企业的事故水收集能力不够，可依托园区公用事故水池。事故废水进入园区公共的事故水池，泵入污水处理厂处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（3）三级防控措施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三级防控措施由污水处理厂的应急事故池和园区的雨水收集池组成。园区雨水排入外环境处设置有雨水收集池和截止阀；发生事故时阀门关闭，受污染的雨水或事故水进入雨水收集池，泵入园区事故池或污水处理厂处理，不会排入外环境。</w:t>
      </w:r>
    </w:p>
    <w:p>
      <w:pPr>
        <w:pStyle w:val="32"/>
        <w:rPr>
          <w:color w:val="000000" w:themeColor="text1"/>
          <w14:textFill>
            <w14:solidFill>
              <w14:schemeClr w14:val="tx1"/>
            </w14:solidFill>
          </w14:textFill>
        </w:rPr>
      </w:pPr>
      <w:r>
        <w:rPr>
          <w:color w:val="000000" w:themeColor="text1"/>
          <w14:textFill>
            <w14:solidFill>
              <w14:schemeClr w14:val="tx1"/>
            </w14:solidFill>
          </w14:textFill>
        </w:rPr>
        <w:t>地下水风险防范措施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了保护地下水环境，采取措施从源头上控制对地下水的污染；入园企业在环境管理中防止和减少污染物料的跑，冒，滴，漏而采取的各种措施，主要措施包括工艺，管道，设备，土建，给排水，总图布置等防止污染物泄漏的措施；园区现状存在的涉重金属企业应严格管理，加强巡检，及时发现污染物泄漏；一旦出现泄漏及时处理，检查检修设备，将污染物泄漏的环境风险事故降到最低。</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加强对各企业厂区地面防渗处理，要求区内各企业生产区和贮存区地面均用水泥硬化，且四周设有防渗处理的地沟，地面冲洗废水和初期雨水均能通过地沟及时收集起来，送企业或污水处理设施进行处理。对于固体废弃物可能造成的危害，建议加强对区内各企业固体废弃物存放的管理，各种固体废弃物均按有关标准进行存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对于列入土壤重点</w:t>
      </w:r>
      <w:r>
        <w:rPr>
          <w:rFonts w:hint="eastAsia"/>
          <w:color w:val="000000" w:themeColor="text1"/>
          <w14:textFill>
            <w14:solidFill>
              <w14:schemeClr w14:val="tx1"/>
            </w14:solidFill>
          </w14:textFill>
        </w:rPr>
        <w:t>监督管理的</w:t>
      </w:r>
      <w:r>
        <w:rPr>
          <w:color w:val="000000" w:themeColor="text1"/>
          <w14:textFill>
            <w14:solidFill>
              <w14:schemeClr w14:val="tx1"/>
            </w14:solidFill>
          </w14:textFill>
        </w:rPr>
        <w:t>企业，应建立地下水环境监控体系，包括：建立地下水监控制度和环境管理体系、制定监测计划、配备必要的检测仪器和设备，以便及时发现问题，及时采取措施。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当发生异常情况时，按照装置制定的环境事故应急预案，启动应急预案。在第一时间内尽快上报主管领导，密切关注地下水水质变化情况。组织专业队伍负责查找环境事故发生地点，分析事故原因，尽量将</w:t>
      </w:r>
      <w:r>
        <w:rPr>
          <w:rFonts w:hint="eastAsia"/>
          <w:color w:val="000000" w:themeColor="text1"/>
          <w14:textFill>
            <w14:solidFill>
              <w14:schemeClr w14:val="tx1"/>
            </w14:solidFill>
          </w14:textFill>
        </w:rPr>
        <w:t>紧急事件</w:t>
      </w:r>
      <w:r>
        <w:rPr>
          <w:color w:val="000000" w:themeColor="text1"/>
          <w14:textFill>
            <w14:solidFill>
              <w14:schemeClr w14:val="tx1"/>
            </w14:solidFill>
          </w14:textFill>
        </w:rPr>
        <w:t>局部化，如可能应予以消除，尽量缩小环境事故对人和财产的影响。减低事故后果的手段，包括切断生产装置或设施。对事故现场进行调查，监测，处理。对事故后果进行评估，采取紧急措施制止事故的扩散，扩大，并制定防止类似事件发生的措施。</w:t>
      </w:r>
    </w:p>
    <w:p>
      <w:pPr>
        <w:pStyle w:val="32"/>
        <w:rPr>
          <w:color w:val="000000" w:themeColor="text1"/>
          <w14:textFill>
            <w14:solidFill>
              <w14:schemeClr w14:val="tx1"/>
            </w14:solidFill>
          </w14:textFill>
        </w:rPr>
      </w:pPr>
      <w:r>
        <w:rPr>
          <w:color w:val="000000" w:themeColor="text1"/>
          <w14:textFill>
            <w14:solidFill>
              <w14:schemeClr w14:val="tx1"/>
            </w14:solidFill>
          </w14:textFill>
        </w:rPr>
        <w:t>环境应急保障体系建设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环境应急保障主要由经费保障、应急队伍保障、通信保障、物资保障等组成。</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1、经费及其他保障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（1）突发环境事件应急处置工作所必需的专项资金由园区管委会予以保障；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（2）应急处置专项资金使用范围包括应急指挥中心确定的工作项目以及用于应急处置信息化建设、日常运作和保障，相关科研和成果转化、预案修订等；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（3）由园区财政部门负责监督突发环境事件应急处置专项资金的使用。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2、通信与信息保障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应急指挥中心应完善</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突发环境事件应急指挥系统和预警系统，配备必要的有线、无线通信器材，确保本预案启动时现场指挥中心和有关部门及现场人员间的联络畅通。</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主要的通信器材有：移动电话、固定电话、广播、对讲机等。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3、应急队伍保障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进一步优化、强化突发环境事件应急队伍，园区应急救援指挥中心应加强应急队伍的建设，提高其应对突发环境事件的素质和能力，提高应急演练的频次，将队伍培训成一支常备不懈、熟悉环境应急知识、充分掌握各类环境、污染事故处置措施的应急力量，保证在突发环境事件发生后，能迅速参与并完成堵截、排险、监测等现场处置工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4、应急物资装备保障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建立健全园区突发环境事件应急物资装备的储存、调拨和紧急配送系统，确保应急所需的物资器材的供应。加强对储备物资的管理，防止储备物资被盗用、挪用、流散和失效。必要时，可依据有关</w:t>
      </w:r>
      <w:r>
        <w:rPr>
          <w:rFonts w:hint="eastAsia"/>
          <w:color w:val="000000" w:themeColor="text1"/>
          <w14:textFill>
            <w14:solidFill>
              <w14:schemeClr w14:val="tx1"/>
            </w14:solidFill>
          </w14:textFill>
        </w:rPr>
        <w:t>法律法规</w:t>
      </w:r>
      <w:r>
        <w:rPr>
          <w:color w:val="000000" w:themeColor="text1"/>
          <w14:textFill>
            <w14:solidFill>
              <w14:schemeClr w14:val="tx1"/>
            </w14:solidFill>
          </w14:textFill>
        </w:rPr>
        <w:t>，及时动员和征用社会物资。</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5、其他保障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1）技术保障</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园区</w:t>
      </w:r>
      <w:r>
        <w:rPr>
          <w:rFonts w:hint="eastAsia"/>
          <w:color w:val="000000" w:themeColor="text1"/>
          <w14:textFill>
            <w14:solidFill>
              <w14:schemeClr w14:val="tx1"/>
            </w14:solidFill>
          </w14:textFill>
        </w:rPr>
        <w:t>应急</w:t>
      </w:r>
      <w:r>
        <w:rPr>
          <w:color w:val="000000" w:themeColor="text1"/>
          <w14:textFill>
            <w14:solidFill>
              <w14:schemeClr w14:val="tx1"/>
            </w14:solidFill>
          </w14:textFill>
        </w:rPr>
        <w:t>救援组织机构应不断改进技术装备，建立预警系统；由</w:t>
      </w:r>
      <w:r>
        <w:rPr>
          <w:rFonts w:hint="eastAsia"/>
          <w:color w:val="000000" w:themeColor="text1"/>
          <w14:textFill>
            <w14:solidFill>
              <w14:schemeClr w14:val="tx1"/>
            </w14:solidFill>
          </w14:textFill>
        </w:rPr>
        <w:t>省生态环境厅、怀化市生态环境局</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生态环境</w:t>
      </w:r>
      <w:r>
        <w:rPr>
          <w:rFonts w:hint="eastAsia"/>
          <w:color w:val="000000" w:themeColor="text1"/>
          <w14:textFill>
            <w14:solidFill>
              <w14:schemeClr w14:val="tx1"/>
            </w14:solidFill>
          </w14:textFill>
        </w:rPr>
        <w:t>局沅陵分</w:t>
      </w:r>
      <w:r>
        <w:rPr>
          <w:color w:val="000000" w:themeColor="text1"/>
          <w14:textFill>
            <w14:solidFill>
              <w14:schemeClr w14:val="tx1"/>
            </w14:solidFill>
          </w14:textFill>
        </w:rPr>
        <w:t>局组建专家组，确保在启动预警前、事故发生后相关环境专家能迅速到位，为指挥决策提供服务，建立环境应急数据库，建立健全各专业环境应急队伍。</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2）交通运输保障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市政部门应加强园区交通道路保障，为事故紧急处置工作提供快速、高效、顺畅的交通道路。突发环境事件发生后，公安交警大队、交通运输局要及时对事故现场周边道路实行道路交通管制，根据需要开设应急救援“绿色通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3）治安保障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公安部门应制定维持治安秩序和交通管制的警力集结、布控、执勤等工作方案，加强对</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内重点场所、重点人群、重要物资设备的保护，依法打击突发环境事件发生过程中的违法犯罪活动，维护社会正常秩序。</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4）医疗保障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医疗救护队按照现场抢救、院前急救、专科急救的不同环节和需要组织实施医疗救护。发生突发环境事件后，医疗救护队伍要迅速进入事故现场，伤员运出危险区后，转入各专业医院进行抢救和治疗。</w:t>
      </w:r>
    </w:p>
    <w:p>
      <w:pPr>
        <w:pStyle w:val="32"/>
        <w:rPr>
          <w:color w:val="000000" w:themeColor="text1"/>
          <w14:textFill>
            <w14:solidFill>
              <w14:schemeClr w14:val="tx1"/>
            </w14:solidFill>
          </w14:textFill>
        </w:rPr>
      </w:pPr>
      <w:r>
        <w:rPr>
          <w:color w:val="000000" w:themeColor="text1"/>
          <w14:textFill>
            <w14:solidFill>
              <w14:schemeClr w14:val="tx1"/>
            </w14:solidFill>
          </w14:textFill>
        </w:rPr>
        <w:t>应急预案体系建设</w:t>
      </w:r>
    </w:p>
    <w:p>
      <w:pPr>
        <w:pStyle w:val="34"/>
        <w:rPr>
          <w:color w:val="000000" w:themeColor="text1"/>
          <w14:textFill>
            <w14:solidFill>
              <w14:schemeClr w14:val="tx1"/>
            </w14:solidFill>
          </w14:textFill>
        </w:rPr>
      </w:pPr>
      <w:r>
        <w:rPr>
          <w:color w:val="000000" w:themeColor="text1"/>
          <w14:textFill>
            <w14:solidFill>
              <w14:schemeClr w14:val="tx1"/>
            </w14:solidFill>
          </w14:textFill>
        </w:rPr>
        <w:t>突发环境风险应急预案</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应急预案</w:t>
      </w:r>
      <w:r>
        <w:rPr>
          <w:rFonts w:hint="eastAsia"/>
          <w:color w:val="000000" w:themeColor="text1"/>
          <w14:textFill>
            <w14:solidFill>
              <w14:schemeClr w14:val="tx1"/>
            </w14:solidFill>
          </w14:textFill>
        </w:rPr>
        <w:t>的主要内容</w:t>
      </w:r>
      <w:r>
        <w:rPr>
          <w:color w:val="000000" w:themeColor="text1"/>
          <w14:textFill>
            <w14:solidFill>
              <w14:schemeClr w14:val="tx1"/>
            </w14:solidFill>
          </w14:textFill>
        </w:rPr>
        <w:t>包括：预案适用范围、环境事件分类与分级、组织机构与职责、监控和预警、应急响应、应急保障、善后处置、预案管理与演练等内容。明确企业、园区/区域、地方政府环境风险应急体系。企业突发环境事件应急预案应体现分级响应、区域联动的原则，与地方政府突发环境事件应急预案相衔接，明确分级响应程序，具体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园区突发环境应急预案概要</w:t>
      </w:r>
    </w:p>
    <w:tbl>
      <w:tblPr>
        <w:tblStyle w:val="40"/>
        <w:tblW w:w="85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693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项目</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主要内容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总则</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相关环保设施、环境保护目标涉及的居民点等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应急组织机构</w:t>
            </w:r>
          </w:p>
        </w:tc>
        <w:tc>
          <w:tcPr>
            <w:tcW w:w="693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应急救援组织体系建设、应急指挥机构的组成及其职责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应急能力建设</w:t>
            </w:r>
          </w:p>
        </w:tc>
        <w:tc>
          <w:tcPr>
            <w:tcW w:w="693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包括环境风险管理制度建设、环境风险防控措施建设、防控措施完善计划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预警和信息报告</w:t>
            </w:r>
          </w:p>
        </w:tc>
        <w:tc>
          <w:tcPr>
            <w:tcW w:w="6932"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根据</w:t>
            </w:r>
            <w:r>
              <w:rPr>
                <w:color w:val="000000" w:themeColor="text1"/>
                <w14:textFill>
                  <w14:solidFill>
                    <w14:schemeClr w14:val="tx1"/>
                  </w14:solidFill>
                </w14:textFill>
              </w:rPr>
              <w:t>事故的严重程度制定相应级别的应急预案以及相应情况的处理措施。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报警、通讯联络方式</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细化应急状态下各主要负责单位的报警通讯方式、地点、联系电话、及相关配套的交通保障、管制、消防联络方法，涉及跨区域的还应与相关区域的环保部门和上级环保部门保持联系，及时通报事故处理情况，以获得区域性支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应急环境监测</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组织专业队伍负责对事故现场进行观察监测，对事故性质、参数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后果进行评估，为指挥部门提供决策依据。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抢险、救援控制措施</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严格规定事故多发区、事故现场、邻近区域、控制防火区域，设置控制和清除污染措施及相应设备的数量、使用方法、使用人员。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人员紧急撤离、疏散</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事故现场、邻近区、受事故影响的区域人员及公众对有毒有害物质应急剂量控制规定，制定紧急撤离组织计划和救护，医疗救护与公众健康。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事故应急救援关停程序</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制定相关应急状态终止程序，事故现场、受影响范围内的善后处理、恢复措施，邻近区域解除事故警戒及善后恢复措施。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事故恢复措施</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制定有关的环境恢复措施（包括水体、生态环境等），组织专业人员对事故后的环境变化进行监测，对事故应急措施的环境可行性进行后影响评价。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应急培训计划</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定期安排有关人员进行培训和演练。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公众教育和信息</w:t>
            </w:r>
          </w:p>
        </w:tc>
        <w:tc>
          <w:tcPr>
            <w:tcW w:w="693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对邻近地区开展公众教育、培训和发布有关信息。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9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应急物资库</w:t>
            </w:r>
          </w:p>
        </w:tc>
        <w:tc>
          <w:tcPr>
            <w:tcW w:w="693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设立应急物资库，按园区应急预案要求，储备相应的环境应急物资及装备。</w:t>
            </w:r>
          </w:p>
        </w:tc>
      </w:tr>
    </w:tbl>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预案在预防为主的前提下，贯彻“统一指挥、分级负责、区域为主、单位自救与社会救援相结合”的原则。坚持以人为本，树立全面、协调、可持续的科学发展观，遵循预防为主、常备不懈的方针，建立健全统一领导、分级管理、职责明确、反应灵敏、运转高效的环境污染事故预警机制，提高园区的环境管理水平和应对环境突发事故的能力。</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应根据发展趋势，及时修订园区环境风险应急预案，定期开展园区突发环境事件应急演练，建立三级联动应急响应体系，落实环境风险防范措施，储备环境应急物资及装备，全面提升园区环境风险防控和应急处置能力，严防环境风险事故发生。</w:t>
      </w:r>
    </w:p>
    <w:p>
      <w:pPr>
        <w:pStyle w:val="34"/>
        <w:rPr>
          <w:color w:val="000000" w:themeColor="text1"/>
          <w14:textFill>
            <w14:solidFill>
              <w14:schemeClr w14:val="tx1"/>
            </w14:solidFill>
          </w14:textFill>
        </w:rPr>
      </w:pPr>
      <w:r>
        <w:rPr>
          <w:color w:val="000000" w:themeColor="text1"/>
          <w14:textFill>
            <w14:solidFill>
              <w14:schemeClr w14:val="tx1"/>
            </w14:solidFill>
          </w14:textFill>
        </w:rPr>
        <w:t>园区应急预案组织机构及职责</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园区目前已成立了应急救援指挥中心，组建了园区突发环境事件组织机构。组织机构结构图详见下</w:t>
      </w:r>
      <w:r>
        <w:rPr>
          <w:rFonts w:hint="eastAsia"/>
          <w:color w:val="000000" w:themeColor="text1"/>
          <w14:textFill>
            <w14:solidFill>
              <w14:schemeClr w14:val="tx1"/>
            </w14:solidFill>
          </w14:textFill>
        </w:rPr>
        <w:t>图</w:t>
      </w:r>
      <w:r>
        <w:rPr>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总指挥在接到事件发生企业单位的报警后，决定是否启动园区环境应急预案，通知应急救援的相关部门做好应急准备，并负责应急救援的统一指挥。根据事件发生、发展的情况决定是否请求上级应急指挥机构给予支援，副总指挥协助总指挥负责应急救援的具体指挥工作。</w:t>
      </w:r>
    </w:p>
    <w:p>
      <w:pPr>
        <w:pStyle w:val="51"/>
        <w:ind w:firstLine="0" w:firstLineChars="0"/>
        <w:jc w:val="center"/>
        <w:rPr>
          <w:color w:val="000000" w:themeColor="text1"/>
          <w14:textFill>
            <w14:solidFill>
              <w14:schemeClr w14:val="tx1"/>
            </w14:solidFill>
          </w14:textFill>
        </w:rPr>
      </w:pPr>
      <w:r>
        <w:rPr>
          <w:color w:val="000000" w:themeColor="text1"/>
          <w:lang w:val="en-US"/>
          <w14:textFill>
            <w14:solidFill>
              <w14:schemeClr w14:val="tx1"/>
            </w14:solidFill>
          </w14:textFill>
        </w:rPr>
        <w:drawing>
          <wp:inline distT="0" distB="0" distL="114300" distR="114300">
            <wp:extent cx="4681855" cy="4526915"/>
            <wp:effectExtent l="0" t="0" r="4445" b="698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6"/>
                    <a:stretch>
                      <a:fillRect/>
                    </a:stretch>
                  </pic:blipFill>
                  <pic:spPr>
                    <a:xfrm>
                      <a:off x="0" y="0"/>
                      <a:ext cx="4681855" cy="4526915"/>
                    </a:xfrm>
                    <a:prstGeom prst="rect">
                      <a:avLst/>
                    </a:prstGeom>
                    <a:noFill/>
                    <a:ln>
                      <a:noFill/>
                    </a:ln>
                  </pic:spPr>
                </pic:pic>
              </a:graphicData>
            </a:graphic>
          </wp:inline>
        </w:drawing>
      </w:r>
    </w:p>
    <w:p>
      <w:pPr>
        <w:pStyle w:val="54"/>
        <w:rPr>
          <w:color w:val="000000" w:themeColor="text1"/>
          <w14:textFill>
            <w14:solidFill>
              <w14:schemeClr w14:val="tx1"/>
            </w14:solidFill>
          </w14:textFill>
        </w:rPr>
      </w:pPr>
      <w:r>
        <w:rPr>
          <w:rFonts w:hint="eastAsia"/>
          <w:color w:val="000000" w:themeColor="text1"/>
          <w14:textFill>
            <w14:solidFill>
              <w14:schemeClr w14:val="tx1"/>
            </w14:solidFill>
          </w14:textFill>
        </w:rPr>
        <w:t>园区应急指挥机构示意图</w:t>
      </w:r>
    </w:p>
    <w:p>
      <w:pPr>
        <w:pStyle w:val="34"/>
        <w:rPr>
          <w:color w:val="000000" w:themeColor="text1"/>
          <w14:textFill>
            <w14:solidFill>
              <w14:schemeClr w14:val="tx1"/>
            </w14:solidFill>
          </w14:textFill>
        </w:rPr>
      </w:pPr>
      <w:r>
        <w:rPr>
          <w:color w:val="000000" w:themeColor="text1"/>
          <w14:textFill>
            <w14:solidFill>
              <w14:schemeClr w14:val="tx1"/>
            </w14:solidFill>
          </w14:textFill>
        </w:rPr>
        <w:t>应急预案衔接情况</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本预案与政府及生态环境部门制定的《沅陵县突发环境事件应急预案》《怀化市突发环境事件应急预案》等实施联动和衔接。</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预案与沅陵县（上级）和区内企业事业单位（下级）应急指挥部形成联动机制的三级应急救援管理体系，采用三级防控体系即企业级、区域级及流域级。企业发生突发环境事件，可控制在企业范围内，未对开发区其他区域造成影响的，</w:t>
      </w:r>
      <w:r>
        <w:rPr>
          <w:rFonts w:hint="eastAsia"/>
          <w:color w:val="000000" w:themeColor="text1"/>
          <w:lang w:val="en-US"/>
          <w14:textFill>
            <w14:solidFill>
              <w14:schemeClr w14:val="tx1"/>
            </w14:solidFill>
          </w14:textFill>
        </w:rPr>
        <w:t>开发区</w:t>
      </w:r>
      <w:r>
        <w:rPr>
          <w:rFonts w:hint="eastAsia"/>
          <w:color w:val="000000" w:themeColor="text1"/>
          <w14:textFill>
            <w14:solidFill>
              <w14:schemeClr w14:val="tx1"/>
            </w14:solidFill>
          </w14:textFill>
        </w:rPr>
        <w:t>未接到支援请求时，可不启动应急响应；当影响无法控制在企业范围内，启动本预案，同时做好与区域内园区、企事业单位有关预案的相互衔接；当发生影响超过园区范围的突发环境事件，污染物已无法控制在开发区范围内，上报沅陵县应急中心启动《沅陵县突发环境事件应急预案》。</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内各企业在编制企业突发环境事件应急预案时应与园区突发环境事件应急预案相衔接。企业突发环境事件应急管理、应急预案编制等工作应接受园区应急指挥中心指导；园区内企业应急预案编制，应将园区应急预案作为编制依据；园区内企业应及时将应急信息（环境风险源、风险防范措施、应急管理体系、应急处置队伍、应急物资信息等）上报</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应急指挥中心；企业突发环境事件应急预案分级参考</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应急预案分级原则；企业突发环境事件预警行动、响应行动应与园区应急预案一致；企业突发环境事件应急处置方式应依照园区应急预案的原则进行，并细化企业各应急队伍的职责和工作程序；企业应急演练和培训接受园区指导，并纳入园区应急演练和培训计划；企业应急结束后应向园区应急指挥中心汇报。</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应急预案修编要求</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通常情况下，园区应结合环境应急预案实施情况，至少每三年对环境应急预案进行一次回顾性评估，有下列情形之一的，应当及时对环境应急预案进行修订，修订工作参照制定步骤进行，并重新备案：</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a）工业园区环境应急预案依据的法律法规、规章、标准、技术规范及上位预案中有关规定发生重要变化的；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b）工业园区面临的环境风险物质、环境风险源、环境风险受体发生重大变化的；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c）工业园区应急管理组织指挥体系与职责发生重大变化的；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d）工业园区环境应急监测预警及报告机制、应对流程和措施、应急保障措施存在严重缺失或发生重大变化的；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e）工业园区重要应急资源发生重大变化的，且无法满足当前应急需求的；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f）工业园区在突发环境事件实际应对、应急演练、预案抽查中发现问题，需做出重大调整的；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g）其他需要修订的情况。</w:t>
      </w:r>
    </w:p>
    <w:p>
      <w:pPr>
        <w:pStyle w:val="32"/>
        <w:rPr>
          <w:color w:val="000000" w:themeColor="text1"/>
          <w14:textFill>
            <w14:solidFill>
              <w14:schemeClr w14:val="tx1"/>
            </w14:solidFill>
          </w14:textFill>
        </w:rPr>
      </w:pPr>
      <w:r>
        <w:rPr>
          <w:color w:val="000000" w:themeColor="text1"/>
          <w14:textFill>
            <w14:solidFill>
              <w14:schemeClr w14:val="tx1"/>
            </w14:solidFill>
          </w14:textFill>
        </w:rPr>
        <w:t>小结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规划环评要求园区建立起</w:t>
      </w:r>
      <w:r>
        <w:rPr>
          <w:rFonts w:hint="eastAsia"/>
          <w:color w:val="000000" w:themeColor="text1"/>
          <w14:textFill>
            <w14:solidFill>
              <w14:schemeClr w14:val="tx1"/>
            </w14:solidFill>
          </w14:textFill>
        </w:rPr>
        <w:t>“单元—企业—园区”</w:t>
      </w:r>
      <w:r>
        <w:rPr>
          <w:color w:val="000000" w:themeColor="text1"/>
          <w14:textFill>
            <w14:solidFill>
              <w14:schemeClr w14:val="tx1"/>
            </w14:solidFill>
          </w14:textFill>
        </w:rPr>
        <w:t>三级事故废水风险防范体系，全面深化区域环境风险管理及防控要求，园区及风险企业应切实强化应急物资储备和完善突发环境事件应急预案，定期开展演练，强化汛期、暴雨等极端天气下应急演练，针对规划实施后区内企业可能发生的物料泄漏、火灾、中毒等风险事故，提出了全面的风险防控和应急措施要求，确保事故废水不排放至自然水体。</w:t>
      </w:r>
    </w:p>
    <w:p>
      <w:pPr>
        <w:pStyle w:val="30"/>
        <w:rPr>
          <w:color w:val="000000" w:themeColor="text1"/>
          <w14:textFill>
            <w14:solidFill>
              <w14:schemeClr w14:val="tx1"/>
            </w14:solidFill>
          </w14:textFill>
        </w:rPr>
      </w:pPr>
      <w:bookmarkStart w:id="43" w:name="_Toc236641283"/>
      <w:r>
        <w:rPr>
          <w:color w:val="000000" w:themeColor="text1"/>
          <w14:textFill>
            <w14:solidFill>
              <w14:schemeClr w14:val="tx1"/>
            </w14:solidFill>
          </w14:textFill>
        </w:rPr>
        <w:t>生态环境保护与污染防治对策和措施</w:t>
      </w:r>
      <w:bookmarkEnd w:id="43"/>
    </w:p>
    <w:p>
      <w:pPr>
        <w:pStyle w:val="32"/>
        <w:rPr>
          <w:color w:val="000000" w:themeColor="text1"/>
          <w14:textFill>
            <w14:solidFill>
              <w14:schemeClr w14:val="tx1"/>
            </w14:solidFill>
          </w14:textFill>
        </w:rPr>
      </w:pPr>
      <w:r>
        <w:rPr>
          <w:color w:val="000000" w:themeColor="text1"/>
          <w14:textFill>
            <w14:solidFill>
              <w14:schemeClr w14:val="tx1"/>
            </w14:solidFill>
          </w14:textFill>
        </w:rPr>
        <w:t>大气环境保护方案</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持续推进空气质量改善</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根据《湖南省空气质量持续改善行动计划实施方案》、《湖南省大气污染防治攻坚三年行动实施方案（2026-2028年）》、《</w:t>
      </w:r>
      <w:r>
        <w:rPr>
          <w:rFonts w:hint="eastAsia"/>
          <w:color w:val="000000" w:themeColor="text1"/>
          <w:lang w:val="en-US"/>
          <w14:textFill>
            <w14:solidFill>
              <w14:schemeClr w14:val="tx1"/>
            </w14:solidFill>
          </w14:textFill>
        </w:rPr>
        <w:t>怀化市大气污染防治攻坚三年行动实施方案（2026-2028年）</w:t>
      </w:r>
      <w:r>
        <w:rPr>
          <w:rFonts w:hint="eastAsia"/>
          <w:color w:val="000000" w:themeColor="text1"/>
          <w14:textFill>
            <w14:solidFill>
              <w14:schemeClr w14:val="tx1"/>
            </w14:solidFill>
          </w14:textFill>
        </w:rPr>
        <w:t>》等相关政策文件的要求，园区需进一步推进各项治理任务。</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（1）优化产业结构，推动产业绿色发展</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严格环境准入，优化产业布局。推进生态保护红线、环境质量底线、资源利用上线和环境准入负面清单实施，强化空间、总量、准入环境管控。加快形成节约资源、保护环境的空间格局、产业结构及生产生活方式，全面推动高质量发展。推进清洁生产，发展绿色产业。鼓励企业开展清洁生产，鼓励企业工艺技术装备更新改造，促进产品生态设计，实现减量化、资源化、无害化发展。</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要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（2）优化能源结构，加速能源清洁低碳高效发展</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后续规划实施的过程中，应进一步保持并优化企业能源利用情况，使用清洁能源。建议园区合理利用太阳能、清洁能源，鼓励区域内各企业单位因地制宜地利用太阳能、风能，如节能路灯、太阳能热水器、屋顶分布式光伏发电等。</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（3）加强工业炉窑大气污染综合治理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按照关于印发《工业炉窑大气污染综合治理方案》以及《湖南省工业炉窑大气污染综合治理实施方案》的通知，拟入园的项目应实施污染深度治理，推进工业炉窑全面达标排放。工业炉窑应配套建设高效脱硫脱硝除尘设施，确保稳定达标排放。全面加强无组织排放管理，严格控制工业炉窑生产工艺过程及相关物料储存、输送等环节无组织排放。</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（3）优化交通结构，大力发展绿色运输体系</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鼓励发展绿色公共交通，实施公交优先发展战略，优化布设公交线网，加强步行、自行车交通系统建设，提高公共交通、步行、自行车出行比例。大力发展绿色货运，推动大宗货物运输向铁路和水路转移。</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（4）强化面源污染治理，提升精细化管理水平</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完善工地扬尘管控机制体制，建立工地信息化监控平台，实行建筑工地动态清单化管理。将施工工地扬尘污染防治纳入“文明施工”管理范畴。加大巡查和抽查力度，依法依规将扬尘管理工作不到位的不良信息纳入建筑市场信用管理体系，情节严重的，列入建筑市场主体“黑名单”。强化道路扬尘治理。严格执行渣土运输资质管理与备案制度，城市渣土运输车辆要安装卫星定位系统并密闭运输。强化对主干道周边及城乡结合部道路的管控，对乡村土路与交通主次干道结合部实施硬化处理。制定并严格执行道路定期冲洗和定时洒水制度，逐步提高道路机械化清扫车、洒水车、冲洗车、人员配备，提升道路保洁机械化作业水平。</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（5）加强环境监督管理能力</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完善园区大气污染防治数字化转型，建立健全覆盖污染源和环境质量的大气自动监测监控体系，提升大气环境管控水平。加强环境监督管理，依法对企业环保工作进行有效管理，对落户企业进行“三同时”监督。对污染物排放量相对较大的企业安装废气在线自动监控系统，对治理设施进行有效监控。通过政府购买第三方服务帮助企业改进治气对策，以及推动合同环境服务、绿色采购、绿色供应链管理、排污权交易、环境污染责任强制保险管理等工作，提升企业的大气污染治理水平。</w:t>
      </w:r>
    </w:p>
    <w:p>
      <w:pPr>
        <w:pStyle w:val="34"/>
        <w:rPr>
          <w:color w:val="000000" w:themeColor="text1"/>
          <w14:textFill>
            <w14:solidFill>
              <w14:schemeClr w14:val="tx1"/>
            </w14:solidFill>
          </w14:textFill>
        </w:rPr>
      </w:pPr>
      <w:r>
        <w:rPr>
          <w:color w:val="000000" w:themeColor="text1"/>
          <w14:textFill>
            <w14:solidFill>
              <w14:schemeClr w14:val="tx1"/>
            </w14:solidFill>
          </w14:textFill>
        </w:rPr>
        <w:t>加强氨、硫化氢等恶臭气体的防治</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对重点企业的生产车间、原材料仓库和生产线等重点臭气废气源实施“全密闭”设置，对在车间内堆放原材料和调配原料的，单独建设密闭场所，禁止露天堆放逸散臭气废气的原材料；对产生臭气废气的工艺生产线建设包围式密闭装置、实现负压操作。对工艺臭气废气、储罐大呼吸废气、室外输送管线等建设收集系统，合理设置治理设施风量、车间换风系统风量等技术参数，确保车间、原材料仓库、生产线的密闭空间废气全收集，杜绝废气通过人员和物流通道扩散。同时，所有经收集后的废气通过按照规范参数条件运行的污染治理设施处理达标后排放。企业应急预案中应重点对有毒及恶臭气体收集、处理设施提出相应应急处置设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对重点企业的污水处理设施、污水预处理系统、厌氧（缺氧）处理环节、污泥处理工段等臭气产生主要环节实施“全加盖”设置。</w:t>
      </w:r>
      <w:r>
        <w:rPr>
          <w:rFonts w:hint="eastAsia"/>
          <w:color w:val="000000" w:themeColor="text1"/>
          <w14:textFill>
            <w14:solidFill>
              <w14:schemeClr w14:val="tx1"/>
            </w14:solidFill>
          </w14:textFill>
        </w:rPr>
        <w:t>污水处理厂</w:t>
      </w:r>
      <w:r>
        <w:rPr>
          <w:color w:val="000000" w:themeColor="text1"/>
          <w14:textFill>
            <w14:solidFill>
              <w14:schemeClr w14:val="tx1"/>
            </w14:solidFill>
          </w14:textFill>
        </w:rPr>
        <w:t>必须进一步强化恶臭污染控制措施，提高恶臭气体收集率和净化率，生物除臭装置避免非正常排放，确保污水处理厂恶臭污染控制设施及厂界恶臭污染物达标排放，加强厂区绿化、强化生物滤池除臭装置运行操作管理，保障设备正常运行。</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排放臭气企业的各种污染治理设施应确保正常运行，加强臭气排放企业的监督管理，督促臭气排放企业从源头控制、过程控制、废气收集、废气治理等方面进行臭气废气治理。</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构建VOCs污染防治管理体系</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各企业应使用符合国家、湖南省有关低（无）VOCs含量产品技术要求的原辅材料；采用先进、密闭性好的生产设备、化工物料存贮容器和输送管线，并对现有企业实施清洁工艺改造，从源头减少VOCs排放。</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鼓励企业采用多种技术的组合工艺，其中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采用吸附处理工艺的，应满足《吸附法工业有机废气治理工程技术规范》要求。采用催化燃烧工艺的，应满足《催化燃烧法工业有机废气治理工程技术规范》要求。采用蓄热燃烧等其他处理工艺的，应按相关技术规范要求设计</w:t>
      </w:r>
      <w:r>
        <w:rPr>
          <w:rFonts w:hint="eastAsia"/>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全面加强无组织排放控制。对含VOCs物料储存、转移和输送、设备与管线组件泄漏、敞开液面逸散以及工艺过程等五类排放源实施管控，通过采取设备与场所密闭、工艺改进、废气有效收集等措施，削减VOCs无组织排放。</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各企业应推进VOCs自行监测工作的开展，落实VOCs在线监控设备或超标报警装置安装、运行、比对及联网技术规范的要求，实现自动在线监测，并建立VOCs台账清单。</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园区以电子信息作为主导产业，该行业VOC的排放常见于电子元器件制造，其VOCs的先进要求如下。</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电子信息产业VOCs管控先进措施</w:t>
      </w:r>
    </w:p>
    <w:tbl>
      <w:tblPr>
        <w:tblStyle w:val="40"/>
        <w:tblW w:w="85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76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类型</w:t>
            </w:r>
          </w:p>
        </w:tc>
        <w:tc>
          <w:tcPr>
            <w:tcW w:w="763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具体要求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原辅料</w:t>
            </w:r>
          </w:p>
        </w:tc>
        <w:tc>
          <w:tcPr>
            <w:tcW w:w="763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、油墨符合《油墨中可挥发性有机化合物（VOCs）含量的限值》（GB38507-2020）要求；</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、胶粘剂符合《胶粘剂挥发性有机化合物限量》（GB33372-2020）要求；</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、清洗剂符合《清洗剂挥发性有机化合物含量限值》（GB38508-2020）要求；</w:t>
            </w:r>
          </w:p>
          <w:p>
            <w:pPr>
              <w:pStyle w:val="36"/>
              <w:jc w:val="both"/>
              <w:rPr>
                <w:color w:val="000000" w:themeColor="text1"/>
                <w:lang w:val="en-GB"/>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、使用的含VOCs原辅材料（油墨、清洗剂、胶粘剂）中低VOCs含量产品占比达80%及以上。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工艺过程及无组织排放管控</w:t>
            </w:r>
          </w:p>
        </w:tc>
        <w:tc>
          <w:tcPr>
            <w:tcW w:w="763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1、盛装VOCs物料的容器或包装袋存放于室内，或存放于设置有雨棚、遮阳和防渗设施的专用场地；盛装VOCs物料的容器或包装袋在非取用状态时加盖、封口，保持密闭；</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2、清洗、印刷、涂布、粘结、焊接等涉VOCs工序废气采用密闭设备或在密闭空间内操作，废气排至VOCs废气收集处理系统。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末端治理</w:t>
            </w:r>
          </w:p>
        </w:tc>
        <w:tc>
          <w:tcPr>
            <w:tcW w:w="763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1、废气排放应符合《大气污染物综合排放标准》（GB16297-1996）的要求；</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2、厂区内无组织排放监控点NMHC的小时平均浓度值不超过10mg/m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、任意一次浓度值不超过30mg/m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监测技术水平</w:t>
            </w:r>
          </w:p>
        </w:tc>
        <w:tc>
          <w:tcPr>
            <w:tcW w:w="763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1、有组织和无组织排放监测位置、指标和频次符合排污许可证和排污单位自行监测技术指南要求；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其他要求</w:t>
            </w:r>
          </w:p>
        </w:tc>
        <w:tc>
          <w:tcPr>
            <w:tcW w:w="7637"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环保档案齐全：</w:t>
            </w:r>
            <w:r>
              <w:rPr>
                <w:rFonts w:hint="eastAsia"/>
                <w:color w:val="000000" w:themeColor="text1"/>
                <w14:textFill>
                  <w14:solidFill>
                    <w14:schemeClr w14:val="tx1"/>
                  </w14:solidFill>
                </w14:textFill>
              </w:rPr>
              <w:t>包括</w:t>
            </w:r>
            <w:r>
              <w:rPr>
                <w:color w:val="000000" w:themeColor="text1"/>
                <w14:textFill>
                  <w14:solidFill>
                    <w14:schemeClr w14:val="tx1"/>
                  </w14:solidFill>
                </w14:textFill>
              </w:rPr>
              <w:t>环评批复文件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排污许可证及符合排污许可证规定频次的执行报告</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竣工环境保护验收材料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废气治理设施运行管理规程</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2、按照《排污许可证申请与核发技术规范电子工业》（HJ1031-2019）要求建立VOCs管理台账，并规范记录和保存。</w:t>
            </w:r>
          </w:p>
        </w:tc>
      </w:tr>
    </w:tbl>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对于以上的其他行业，其VOC的管控要求可以参考《挥发性有机物无组织排放控制标准》（GB37822-2019）。</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加强无组织管控措施</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电子信息产业无组织排放较少，对于有色金属冶炼产业，应充分加强无组织排放管控，具体详见下表。</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有色金属行业无组织控制要求</w:t>
      </w:r>
    </w:p>
    <w:tbl>
      <w:tblPr>
        <w:tblStyle w:val="40"/>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5"/>
        <w:gridCol w:w="842"/>
        <w:gridCol w:w="708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行业</w:t>
            </w: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工序</w:t>
            </w:r>
          </w:p>
        </w:tc>
        <w:tc>
          <w:tcPr>
            <w:tcW w:w="7085"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管控措施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锑冶炼</w:t>
            </w: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运输</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(1)冶炼厂内粉状物料运输应采取抑尘措施；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(2)冶炼厂内大宗物料转移、输送应采取皮带通廊、封闭式皮带输送机或流态化输送等输送方式，带式输送机的受料点、卸料点采取喷雾等抑尘措施；或设置密闭罩，并配备除尘设施；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(3)冶炼厂内运输道路应硬化，并采取洒水、喷雾或移动吸尘等措施；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(4)运输车辆驶离冶炼厂前应冲洗车轮，或采取其他控制措施。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continue"/>
            <w:vAlign w:val="center"/>
          </w:tcPr>
          <w:p>
            <w:pPr>
              <w:pStyle w:val="36"/>
              <w:rPr>
                <w:color w:val="000000" w:themeColor="text1"/>
                <w14:textFill>
                  <w14:solidFill>
                    <w14:schemeClr w14:val="tx1"/>
                  </w14:solidFill>
                </w14:textFill>
              </w:rPr>
            </w:pP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冶炼</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原煤应贮存于封闭式煤场；不能封闭的应采用防风抑尘网，防风抑尘网，高度不低于堆存物料高度的1.1倍。锑精矿等原料，石英石、石灰石等辅料应采用库房贮存。备料工序产尘点应设置集气罩，并配备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(2)冶炼炉(窑)的加料口、出料口应设置集气罩并保证足够的集气效率，配套设置密闭抽风收尘设施；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(3)溜槽应设置盖板。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锌冶炼</w:t>
            </w: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运输</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(1)粉状物料运输应采取密闭措施。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(2)厂内大宗物料转移、输送应采取皮带通廊、封闭式皮带输送机或流态化输送等</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输送方式。皮带通廊应封闭，带式输送机的受料点、卸料点采取喷雾等抑尘措施；或设置集气除尘设施。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(3)厂内运输道路应硬化，及时清扫、并采取洒水、喷雾或抑尘措施。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(4)运输车辆驶离厂区前应冲洗车轮，或采取其他控制措施。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continue"/>
            <w:vAlign w:val="center"/>
          </w:tcPr>
          <w:p>
            <w:pPr>
              <w:pStyle w:val="36"/>
              <w:rPr>
                <w:color w:val="000000" w:themeColor="text1"/>
                <w14:textFill>
                  <w14:solidFill>
                    <w14:schemeClr w14:val="tx1"/>
                  </w14:solidFill>
                </w14:textFill>
              </w:rPr>
            </w:pP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冶炼</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(1)原辅料、燃料等粉状物料应贮存于封闭厂房，精矿装卸、输送、配料、精矿干燥、给料等备料过程产尘点应设置集气收尘设施。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(2)湿法炼锌浸出槽、净化槽等应设置抽风及酸雾净化装置；火法炼锌炉窑加料口、出料口、出渣口应设置集气罩，并配套除尘脱硫设施。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再生金属</w:t>
            </w: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运输、存储</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(1)运输产生粉尘的物料，其车辆应采取密闭、苫盖等措施。厂区道路应硬化，并采取酒水、喷雾等降尘措施。运输车辆出厂前应清洗车轮，或采取其他控制措施。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(2)产生粉尘的物料应储存在有硬化地面的料棚或仓库中。再生铝排污单位产生的</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废弃铝灰应采用有效措施减少氨气排放。</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(3)产生粉尘的物料转运点、落料点应采用清扫、吸尘、酒水等方式控制堆场扬尘。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95" w:type="dxa"/>
            <w:vMerge w:val="continue"/>
            <w:vAlign w:val="center"/>
          </w:tcPr>
          <w:p>
            <w:pPr>
              <w:pStyle w:val="36"/>
              <w:rPr>
                <w:color w:val="000000" w:themeColor="text1"/>
                <w14:textFill>
                  <w14:solidFill>
                    <w14:schemeClr w14:val="tx1"/>
                  </w14:solidFill>
                </w14:textFill>
              </w:rPr>
            </w:pPr>
          </w:p>
        </w:tc>
        <w:tc>
          <w:tcPr>
            <w:tcW w:w="84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冶炼</w:t>
            </w:r>
          </w:p>
        </w:tc>
        <w:tc>
          <w:tcPr>
            <w:tcW w:w="7085" w:type="dxa"/>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(1)废有色金属原料的预处理（拆解、破碎、分选、清洗、烘干等）应在厂房中进</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行。破碎、分选、烘干等产生粉尘的工序应设置集气罩，并配备除尘设施。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(2)辅料制备、配料工序产尘点应设集气罩，并配备除尘设施。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(3)熔炼、精炼、熔铸工序的操作应在厂房中进行。冶炼炉的加料口、出料口应设置集气罩，并配备除尘设施。</w:t>
            </w:r>
          </w:p>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(4)电解车间应设置酸雾净化设施。</w:t>
            </w:r>
          </w:p>
        </w:tc>
      </w:tr>
    </w:tbl>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重点行业大气污染防治可行技术</w:t>
      </w:r>
    </w:p>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电子信息产业大气污染防治技术</w:t>
      </w:r>
    </w:p>
    <w:tbl>
      <w:tblPr>
        <w:tblStyle w:val="17"/>
        <w:tblW w:w="852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1388"/>
        <w:gridCol w:w="1886"/>
        <w:gridCol w:w="1486"/>
        <w:gridCol w:w="186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主要生产单元</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主要生产设施</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污染物项目</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可行技术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restart"/>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计算机制造排污单位、其他电子设备制造排污单位</w:t>
            </w: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电路板三防涂覆生产线、注塑生产线</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涂覆机、注塑机</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挥发性有机物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活性炭吸附法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continue"/>
            <w:tcBorders>
              <w:tl2br w:val="nil"/>
              <w:tr2bl w:val="nil"/>
            </w:tcBorders>
            <w:vAlign w:val="center"/>
          </w:tcPr>
          <w:p>
            <w:pPr>
              <w:pStyle w:val="36"/>
              <w:rPr>
                <w:color w:val="000000" w:themeColor="text1"/>
                <w14:textFill>
                  <w14:solidFill>
                    <w14:schemeClr w14:val="tx1"/>
                  </w14:solidFill>
                </w14:textFill>
              </w:rPr>
            </w:pP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喷漆生产线</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喷漆设备、烘干设备</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挥发性有机物、苯、甲苯、二甲苯、颗粒物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水帘柜+喷淋塔，水帘柜+喷淋塔+吸附法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restart"/>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电子真空器件制造排污单位</w:t>
            </w: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零件处理、表面涂覆</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清洗机、涂覆机</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挥发性有机物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活性炭吸附法，燃烧法，浓缩+燃烧法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continue"/>
            <w:tcBorders>
              <w:tl2br w:val="nil"/>
              <w:tr2bl w:val="nil"/>
            </w:tcBorders>
            <w:vAlign w:val="center"/>
          </w:tcPr>
          <w:p>
            <w:pPr>
              <w:pStyle w:val="36"/>
              <w:rPr>
                <w:color w:val="000000" w:themeColor="text1"/>
                <w14:textFill>
                  <w14:solidFill>
                    <w14:schemeClr w14:val="tx1"/>
                  </w14:solidFill>
                </w14:textFill>
              </w:rPr>
            </w:pP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表面涂覆</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电镀设备</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硫酸雾、氰化氢等</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碱液喷淋洗涤吸收法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restart"/>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半导体分立器件制造、集成电路制造、半导体照明器件制造、光电子器件制造、其他电子器件制造排污单位</w:t>
            </w: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清洗、光刻、封装</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清洗机、光刻机、显影机、涂胶机、塑封压机、烤箱</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挥发性有机物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活性炭吸附法，燃烧法，浓缩+燃烧法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continue"/>
            <w:tcBorders>
              <w:tl2br w:val="nil"/>
              <w:tr2bl w:val="nil"/>
            </w:tcBorders>
            <w:vAlign w:val="center"/>
          </w:tcPr>
          <w:p>
            <w:pPr>
              <w:pStyle w:val="36"/>
              <w:rPr>
                <w:color w:val="000000" w:themeColor="text1"/>
                <w14:textFill>
                  <w14:solidFill>
                    <w14:schemeClr w14:val="tx1"/>
                  </w14:solidFill>
                </w14:textFill>
              </w:rPr>
            </w:pP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清洗、湿法刻蚀、薄膜制备</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清洗机、湿法刻蚀机、化学气相沉积设备</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氮氧化物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电热/燃烧+水洗法；碱液喷淋洗涤吸收法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continue"/>
            <w:tcBorders>
              <w:tl2br w:val="nil"/>
              <w:tr2bl w:val="nil"/>
            </w:tcBorders>
            <w:vAlign w:val="center"/>
          </w:tcPr>
          <w:p>
            <w:pPr>
              <w:pStyle w:val="36"/>
              <w:rPr>
                <w:color w:val="000000" w:themeColor="text1"/>
                <w14:textFill>
                  <w14:solidFill>
                    <w14:schemeClr w14:val="tx1"/>
                  </w14:solidFill>
                </w14:textFill>
              </w:rPr>
            </w:pP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清洗、薄膜制备、刻蚀</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清洗机、化学气相沉积设备、外延设备、干法刻蚀设备</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氟化物、氯化氢、氨、硫酸雾等</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本地处理系统（POU）；酸碱喷淋洗涤吸收法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restart"/>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电阻电容电感元件制造、敏感元件及传感器制造、电声器件及零件制造、其他电子元件制造排污单位</w:t>
            </w: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原料系统</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机床</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袋式除尘法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896" w:type="dxa"/>
            <w:vMerge w:val="continue"/>
            <w:tcBorders>
              <w:tl2br w:val="nil"/>
              <w:tr2bl w:val="nil"/>
            </w:tcBorders>
            <w:vAlign w:val="center"/>
          </w:tcPr>
          <w:p>
            <w:pPr>
              <w:pStyle w:val="36"/>
              <w:rPr>
                <w:color w:val="000000" w:themeColor="text1"/>
                <w14:textFill>
                  <w14:solidFill>
                    <w14:schemeClr w14:val="tx1"/>
                  </w14:solidFill>
                </w14:textFill>
              </w:rPr>
            </w:pPr>
          </w:p>
        </w:tc>
        <w:tc>
          <w:tcPr>
            <w:tcW w:w="138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混合、成型、印刷、清洗、烘干/烧成、涂覆、点胶</w:t>
            </w:r>
          </w:p>
        </w:tc>
        <w:tc>
          <w:tcPr>
            <w:tcW w:w="18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混合机、成型机、印刷机、清洗机、烘干机/烧成炉、涂覆机、点胶机</w:t>
            </w:r>
          </w:p>
        </w:tc>
        <w:tc>
          <w:tcPr>
            <w:tcW w:w="1486"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挥发性有机物、甲苯</w:t>
            </w:r>
          </w:p>
        </w:tc>
        <w:tc>
          <w:tcPr>
            <w:tcW w:w="1868" w:type="dxa"/>
            <w:tcBorders>
              <w:tl2br w:val="nil"/>
              <w:tr2bl w:val="nil"/>
            </w:tcBorders>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活性炭吸附法，燃烧法，浓缩+燃烧法</w:t>
            </w:r>
          </w:p>
        </w:tc>
      </w:tr>
    </w:tbl>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冶炼废气</w:t>
      </w:r>
      <w:r>
        <w:rPr>
          <w:color w:val="000000" w:themeColor="text1"/>
          <w14:textFill>
            <w14:solidFill>
              <w14:schemeClr w14:val="tx1"/>
            </w14:solidFill>
          </w14:textFill>
        </w:rPr>
        <w:t>防治可行技术</w:t>
      </w:r>
    </w:p>
    <w:tbl>
      <w:tblPr>
        <w:tblStyle w:val="40"/>
        <w:tblW w:w="83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1"/>
        <w:gridCol w:w="3172"/>
        <w:gridCol w:w="428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行业</w:t>
            </w: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废气污染物</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推荐可行技术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锑冶炼</w:t>
            </w: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颗粒物、锡及其化合物、镉及其化合物、铅及其化合物、砷及其化合物、汞及其化合物、锑及其化合物</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袋式除尘、湿法除尘技术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continue"/>
            <w:vAlign w:val="center"/>
          </w:tcPr>
          <w:p>
            <w:pPr>
              <w:pStyle w:val="36"/>
              <w:rPr>
                <w:color w:val="000000" w:themeColor="text1"/>
                <w14:textFill>
                  <w14:solidFill>
                    <w14:schemeClr w14:val="tx1"/>
                  </w14:solidFill>
                </w14:textFill>
              </w:rPr>
            </w:pP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二氧化硫</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石灰-石膏湿法、钠碱法、氨法脱硫技术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锌冶炼</w:t>
            </w:r>
          </w:p>
        </w:tc>
        <w:tc>
          <w:tcPr>
            <w:tcW w:w="3172" w:type="dxa"/>
            <w:shd w:val="clear" w:color="auto" w:fill="auto"/>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颗粒物、铅及其化合物、汞及其化合物</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湿法除尘技术、电除尘技术、袋式除尘技术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continue"/>
            <w:vAlign w:val="center"/>
          </w:tcPr>
          <w:p>
            <w:pPr>
              <w:pStyle w:val="36"/>
              <w:rPr>
                <w:color w:val="000000" w:themeColor="text1"/>
                <w14:textFill>
                  <w14:solidFill>
                    <w14:schemeClr w14:val="tx1"/>
                  </w14:solidFill>
                </w14:textFill>
              </w:rPr>
            </w:pP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二氧化硫</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石灰-石膏法脱硫技术、有机溶液循环吸收法脱硫技术、金属氧化物吸收法脱硫技术活性、焦吸附法脱硫技术、氨法脱硫技术、双碱法脱硫技术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再生锌</w:t>
            </w: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颗粒物、砷及其化合物、铅及其化合物、锡及其化合物、镉及其化合物、铬及其化合物</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湿法除尘技术、电除尘技术、袋式除尘技术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continue"/>
            <w:vAlign w:val="center"/>
          </w:tcPr>
          <w:p>
            <w:pPr>
              <w:pStyle w:val="36"/>
              <w:rPr>
                <w:color w:val="000000" w:themeColor="text1"/>
                <w14:textFill>
                  <w14:solidFill>
                    <w14:schemeClr w14:val="tx1"/>
                  </w14:solidFill>
                </w14:textFill>
              </w:rPr>
            </w:pP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二氧化硫</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石灰-石膏法脱硫技术、有机溶液循环吸收法脱硫技术、活性焦吸附法脱硫技术、氨法脱硫技术、钠碱法脱硫技术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continue"/>
            <w:vAlign w:val="center"/>
          </w:tcPr>
          <w:p>
            <w:pPr>
              <w:pStyle w:val="36"/>
              <w:rPr>
                <w:color w:val="000000" w:themeColor="text1"/>
                <w14:textFill>
                  <w14:solidFill>
                    <w14:schemeClr w14:val="tx1"/>
                  </w14:solidFill>
                </w14:textFill>
              </w:rPr>
            </w:pP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氮氧化物</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SCR、SNCR</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71" w:type="dxa"/>
            <w:vMerge w:val="continue"/>
            <w:vAlign w:val="center"/>
          </w:tcPr>
          <w:p>
            <w:pPr>
              <w:pStyle w:val="36"/>
              <w:rPr>
                <w:color w:val="000000" w:themeColor="text1"/>
                <w14:textFill>
                  <w14:solidFill>
                    <w14:schemeClr w14:val="tx1"/>
                  </w14:solidFill>
                </w14:textFill>
              </w:rPr>
            </w:pPr>
          </w:p>
        </w:tc>
        <w:tc>
          <w:tcPr>
            <w:tcW w:w="317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二噁英</w:t>
            </w:r>
          </w:p>
        </w:tc>
        <w:tc>
          <w:tcPr>
            <w:tcW w:w="4288"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烟气二次燃烧+烟气骤冷+袋式除尘+SCR</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烟气骤冷+活性炭注入+袋式除尘</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袋式除尘+活性炭吸附</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活性炭注入+袋式除尘+活性炭吸附</w:t>
            </w:r>
          </w:p>
        </w:tc>
      </w:tr>
    </w:tbl>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在官庄片区园区核准范围内，建设有金矿选矿场和冶炼生产线，本次提出金矿选矿、冶炼的相关废气污染防治的技术要求：</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1.金矿石破碎工序宜设置在有挡风、遮盖措施的半封闭车间，在主要产尘点应采取抑尘措施，收尘设备宜采用布袋除尘技术，收集的粉尘应返回生产过程。</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2.采场、矿石堆场、排土场、尾矿库应在确保生产安全情况下采取遮盖或喷淋洒水等措施减少扬尘排放。生产区内道路应采取洒水降尘等措施控制扬尘。</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3</w:t>
      </w:r>
      <w:r>
        <w:rPr>
          <w:rFonts w:hint="eastAsia"/>
          <w:color w:val="000000" w:themeColor="text1"/>
          <w14:textFill>
            <w14:solidFill>
              <w14:schemeClr w14:val="tx1"/>
            </w14:solidFill>
          </w14:textFill>
        </w:rPr>
        <w:t>.含硫金精矿焙烧烟气中的高浓度二氧化硫优先采用制酸工艺等方式进行资源化利用。含砷金精矿（金矿石）焙烧工艺应采取烟气除砷措施，保证烟气中砷的达标排放。</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4</w:t>
      </w:r>
      <w:r>
        <w:rPr>
          <w:rFonts w:hint="eastAsia"/>
          <w:color w:val="000000" w:themeColor="text1"/>
          <w14:textFill>
            <w14:solidFill>
              <w14:schemeClr w14:val="tx1"/>
            </w14:solidFill>
          </w14:textFill>
        </w:rPr>
        <w:t>.鼓励利用含氰贫液或含氰矿浆净化处理焙烧烟气中的二氧化硫和冶炼烟气中的氮氧化物。</w:t>
      </w:r>
    </w:p>
    <w:p>
      <w:pPr>
        <w:pStyle w:val="51"/>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5</w:t>
      </w:r>
      <w:r>
        <w:rPr>
          <w:rFonts w:hint="eastAsia"/>
          <w:color w:val="000000" w:themeColor="text1"/>
          <w14:textFill>
            <w14:solidFill>
              <w14:schemeClr w14:val="tx1"/>
            </w14:solidFill>
          </w14:textFill>
        </w:rPr>
        <w:t>.含金物料(包括废杂金)精炼提纯过程中产生的含二氧化硫、氮氧化物、硫酸、盐酸等主要污染物的冶炼废气应采取负压工况收集、处理达标后外排。对无法完全密闭的废气排放点，应采用集气装置收集并处理达标后统一外排，严格控制无组织排放。</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6</w:t>
      </w:r>
      <w:r>
        <w:rPr>
          <w:rFonts w:hint="eastAsia"/>
          <w:color w:val="000000" w:themeColor="text1"/>
          <w14:textFill>
            <w14:solidFill>
              <w14:schemeClr w14:val="tx1"/>
            </w14:solidFill>
          </w14:textFill>
        </w:rPr>
        <w:t>.鼓励采用活性炭吸附法等脱汞技术控制含汞含金物料(包括废杂金)精炼提纯过程冶炼废气中汞排放。</w:t>
      </w:r>
    </w:p>
    <w:p>
      <w:pPr>
        <w:pStyle w:val="32"/>
        <w:rPr>
          <w:color w:val="000000" w:themeColor="text1"/>
          <w14:textFill>
            <w14:solidFill>
              <w14:schemeClr w14:val="tx1"/>
            </w14:solidFill>
          </w14:textFill>
        </w:rPr>
      </w:pPr>
      <w:r>
        <w:rPr>
          <w:color w:val="000000" w:themeColor="text1"/>
          <w14:textFill>
            <w14:solidFill>
              <w14:schemeClr w14:val="tx1"/>
            </w14:solidFill>
          </w14:textFill>
        </w:rPr>
        <w:t>水环境保护方案</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园区应采取的措施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（1）完善基础设施建设，确保污水纳管率</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区域排水采用雨污分流制。雨水就近排入周边水域，园区内污水分片区分别进入受纳的污水处理厂集中处理后达标排放。按适度超前的原则进行开发建设，新开发区域应先期完成供、排水管网等基础设施建设。园区污水纳管率应达到100%。</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）做好事故排放的应急准备</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污水处理厂排污口</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配备在线监测系统，对污水处理厂的排水水体进行实时监测，</w:t>
      </w:r>
      <w:r>
        <w:rPr>
          <w:rFonts w:hint="eastAsia"/>
          <w:color w:val="000000" w:themeColor="text1"/>
          <w14:textFill>
            <w14:solidFill>
              <w14:schemeClr w14:val="tx1"/>
            </w14:solidFill>
          </w14:textFill>
        </w:rPr>
        <w:t>并</w:t>
      </w:r>
      <w:r>
        <w:rPr>
          <w:color w:val="000000" w:themeColor="text1"/>
          <w14:textFill>
            <w14:solidFill>
              <w14:schemeClr w14:val="tx1"/>
            </w14:solidFill>
          </w14:textFill>
        </w:rPr>
        <w:t>设置应急闸，及时切断污染水体排入相应受纳水体，确保进入河流水质的安全。</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企业应采取的措施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保证工业园区各污水处理厂的正常和安全运行，应严格控制进入污水处理厂的各企业的工业废水水质，建立和健全园区内工业废水的接管标准；加强监督管理，确保入驻企业的污水预处理设施正常运行，保证进入污水处理厂的污水水质满足设计水质的要求，特别是严格控制有毒有害污染物的废水排放，应考虑从严控制接管标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1）严格控制各企业废水达到污水处理厂的接管标准，各类行业污水预处理选择切实可行的治理方案，对含有害有毒污染物的废水应从严控制接管标准，经环保主管部门审查同意后方可实施。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园区内不设单个企业污水排放口，所有企业废水通过污水管网排入污水处理厂统一处理后达标排放。区内个别企业自行处理达标排放的废水，也应送到污水处理厂的排放口排放，不得自行设置排污口，企业排放口设置环境保护图形标志，安装流量计，留有采样监测的位置。</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3）工业区内各工业企业的排水必须实行雨污分流、清污分流，危险品等仓储区和污染严重的区域的初期雨水接入污水管网，实施集中处理，必须建设容积</w:t>
      </w:r>
      <w:r>
        <w:rPr>
          <w:rFonts w:hint="eastAsia"/>
          <w:color w:val="000000" w:themeColor="text1"/>
          <w:lang w:val="en-US"/>
          <w14:textFill>
            <w14:solidFill>
              <w14:schemeClr w14:val="tx1"/>
            </w14:solidFill>
          </w14:textFill>
        </w:rPr>
        <w:t>符合规范要求</w:t>
      </w:r>
      <w:r>
        <w:rPr>
          <w:rFonts w:hint="eastAsia"/>
          <w:color w:val="000000" w:themeColor="text1"/>
          <w14:textFill>
            <w14:solidFill>
              <w14:schemeClr w14:val="tx1"/>
            </w14:solidFill>
          </w14:textFill>
        </w:rPr>
        <w:t>的事故池，严禁高浓度废水稀释排放，杜绝因工业废水事故排放对污水处理厂的影响。</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4）入园企业项目在设计规划阶段应根据企业生产过程特点，制定科学合理的水资源利用方案，清洁排水、中水在企业内部可以实现重复利用的，尽可能的回</w:t>
      </w:r>
      <w:r>
        <w:rPr>
          <w:rFonts w:hint="eastAsia"/>
          <w:color w:val="000000" w:themeColor="text1"/>
          <w:lang w:val="en-US"/>
          <w14:textFill>
            <w14:solidFill>
              <w14:schemeClr w14:val="tx1"/>
            </w14:solidFill>
          </w14:textFill>
        </w:rPr>
        <w:t>用</w:t>
      </w:r>
      <w:r>
        <w:rPr>
          <w:rFonts w:hint="eastAsia"/>
          <w:color w:val="000000" w:themeColor="text1"/>
          <w14:textFill>
            <w14:solidFill>
              <w14:schemeClr w14:val="tx1"/>
            </w14:solidFill>
          </w14:textFill>
        </w:rPr>
        <w:t>，减少废水外排。</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园区所有废水排放重点企业均需安装在线监控装置，同时园区内应设置在线监控中心，对所有废水排放重点企业严格监控管理，废水污染重点企业在线监控率要达到100%，对于超标排污，及时预防、处理，提高园区应急反应能力。</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6）工业区水污染物排放实行总量控制，其总量指标纳入污水处理厂污染物总量控制指标进行统一管理。</w:t>
      </w:r>
    </w:p>
    <w:p>
      <w:pPr>
        <w:pStyle w:val="34"/>
        <w:rPr>
          <w:color w:val="000000" w:themeColor="text1"/>
          <w14:textFill>
            <w14:solidFill>
              <w14:schemeClr w14:val="tx1"/>
            </w14:solidFill>
          </w14:textFill>
        </w:rPr>
      </w:pPr>
      <w:r>
        <w:rPr>
          <w:rFonts w:hint="eastAsia"/>
          <w:color w:val="000000" w:themeColor="text1"/>
          <w14:textFill>
            <w14:solidFill>
              <w14:schemeClr w14:val="tx1"/>
            </w14:solidFill>
          </w14:textFill>
        </w:rPr>
        <w:t>典型行业水污染防治措施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参考园区重点发展的行业类型，提出可行的技术治理方案详见下表。</w:t>
      </w:r>
    </w:p>
    <w:p>
      <w:pPr>
        <w:pStyle w:val="52"/>
        <w:rPr>
          <w:color w:val="000000" w:themeColor="text1"/>
          <w14:textFill>
            <w14:solidFill>
              <w14:schemeClr w14:val="tx1"/>
            </w14:solidFill>
          </w14:textFill>
        </w:rPr>
      </w:pPr>
      <w:r>
        <w:rPr>
          <w:color w:val="000000" w:themeColor="text1"/>
          <w14:textFill>
            <w14:solidFill>
              <w14:schemeClr w14:val="tx1"/>
            </w14:solidFill>
          </w14:textFill>
        </w:rPr>
        <w:t>电子</w:t>
      </w:r>
      <w:r>
        <w:rPr>
          <w:rFonts w:hint="eastAsia"/>
          <w:color w:val="000000" w:themeColor="text1"/>
          <w14:textFill>
            <w14:solidFill>
              <w14:schemeClr w14:val="tx1"/>
            </w14:solidFill>
          </w14:textFill>
        </w:rPr>
        <w:t>信息</w:t>
      </w:r>
      <w:r>
        <w:rPr>
          <w:color w:val="000000" w:themeColor="text1"/>
          <w14:textFill>
            <w14:solidFill>
              <w14:schemeClr w14:val="tx1"/>
            </w14:solidFill>
          </w14:textFill>
        </w:rPr>
        <w:t>废水防治可行技术</w:t>
      </w:r>
    </w:p>
    <w:tbl>
      <w:tblPr>
        <w:tblStyle w:val="40"/>
        <w:tblW w:w="83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3"/>
        <w:gridCol w:w="3127"/>
        <w:gridCol w:w="36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5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废水类型</w:t>
            </w:r>
          </w:p>
        </w:tc>
        <w:tc>
          <w:tcPr>
            <w:tcW w:w="3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废水污染物</w:t>
            </w:r>
          </w:p>
        </w:tc>
        <w:tc>
          <w:tcPr>
            <w:tcW w:w="364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推荐可行技术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5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厂内综合</w:t>
            </w:r>
            <w:r>
              <w:rPr>
                <w:color w:val="000000" w:themeColor="text1"/>
                <w14:textFill>
                  <w14:solidFill>
                    <w14:schemeClr w14:val="tx1"/>
                  </w14:solidFill>
                </w14:textFill>
              </w:rPr>
              <w:t>污水</w:t>
            </w:r>
          </w:p>
        </w:tc>
        <w:tc>
          <w:tcPr>
            <w:tcW w:w="3127"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化学需氧量、氨氮、总铜、总锌、氟化物、总氰化物、总磷</w:t>
            </w:r>
            <w:r>
              <w:rPr>
                <w:color w:val="000000" w:themeColor="text1"/>
                <w14:textFill>
                  <w14:solidFill>
                    <w14:schemeClr w14:val="tx1"/>
                  </w14:solidFill>
                </w14:textFill>
              </w:rPr>
              <w:t xml:space="preserve"> </w:t>
            </w:r>
          </w:p>
        </w:tc>
        <w:tc>
          <w:tcPr>
            <w:tcW w:w="3641"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中和</w:t>
            </w:r>
            <w:r>
              <w:rPr>
                <w:color w:val="000000" w:themeColor="text1"/>
                <w14:textFill>
                  <w14:solidFill>
                    <w14:schemeClr w14:val="tx1"/>
                  </w14:solidFill>
                </w14:textFill>
              </w:rPr>
              <w:t>调节</w:t>
            </w:r>
            <w:r>
              <w:rPr>
                <w:rFonts w:hint="eastAsia"/>
                <w:color w:val="000000" w:themeColor="text1"/>
                <w14:textFill>
                  <w14:solidFill>
                    <w14:schemeClr w14:val="tx1"/>
                  </w14:solidFill>
                </w14:textFill>
              </w:rPr>
              <w:t>法</w:t>
            </w:r>
            <w:r>
              <w:rPr>
                <w:color w:val="000000" w:themeColor="text1"/>
                <w14:textFill>
                  <w14:solidFill>
                    <w14:schemeClr w14:val="tx1"/>
                  </w14:solidFill>
                </w14:textFill>
              </w:rPr>
              <w:t>、生化法、其他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331" w:type="dxa"/>
            <w:gridSpan w:val="3"/>
            <w:vAlign w:val="center"/>
          </w:tcPr>
          <w:p>
            <w:pPr>
              <w:pStyle w:val="3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注：园区电子信息企业目前还没有排放重金属废水的企业，本评价仅对后续可能引进企业提出可行技术的要求。</w:t>
            </w:r>
          </w:p>
        </w:tc>
      </w:tr>
    </w:tbl>
    <w:p>
      <w:pPr>
        <w:pStyle w:val="52"/>
        <w:rPr>
          <w:color w:val="000000" w:themeColor="text1"/>
          <w14:textFill>
            <w14:solidFill>
              <w14:schemeClr w14:val="tx1"/>
            </w14:solidFill>
          </w14:textFill>
        </w:rPr>
      </w:pPr>
      <w:r>
        <w:rPr>
          <w:rFonts w:hint="eastAsia"/>
          <w:color w:val="000000" w:themeColor="text1"/>
          <w14:textFill>
            <w14:solidFill>
              <w14:schemeClr w14:val="tx1"/>
            </w14:solidFill>
          </w14:textFill>
        </w:rPr>
        <w:t>有色金属冶炼</w:t>
      </w:r>
      <w:r>
        <w:rPr>
          <w:color w:val="000000" w:themeColor="text1"/>
          <w14:textFill>
            <w14:solidFill>
              <w14:schemeClr w14:val="tx1"/>
            </w14:solidFill>
          </w14:textFill>
        </w:rPr>
        <w:t>废水防治可行技术</w:t>
      </w:r>
    </w:p>
    <w:tbl>
      <w:tblPr>
        <w:tblStyle w:val="40"/>
        <w:tblW w:w="83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800"/>
        <w:gridCol w:w="36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行业</w:t>
            </w:r>
          </w:p>
        </w:tc>
        <w:tc>
          <w:tcPr>
            <w:tcW w:w="380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废水污染物</w:t>
            </w:r>
          </w:p>
        </w:tc>
        <w:tc>
          <w:tcPr>
            <w:tcW w:w="36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推荐可行技术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锑冶炼</w:t>
            </w:r>
          </w:p>
        </w:tc>
        <w:tc>
          <w:tcPr>
            <w:tcW w:w="380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pH、悬浮物、氟化物、总铜、总锌、总锡、总锑、总汞、总</w:t>
            </w:r>
            <w:r>
              <w:rPr>
                <w:rFonts w:hint="eastAsia"/>
                <w:color w:val="000000" w:themeColor="text1"/>
                <w:lang w:eastAsia="zh-CN"/>
                <w14:textFill>
                  <w14:solidFill>
                    <w14:schemeClr w14:val="tx1"/>
                  </w14:solidFill>
                </w14:textFill>
              </w:rPr>
              <w:t>镉</w:t>
            </w:r>
            <w:r>
              <w:rPr>
                <w:rFonts w:hint="eastAsia"/>
                <w:color w:val="000000" w:themeColor="text1"/>
                <w14:textFill>
                  <w14:solidFill>
                    <w14:schemeClr w14:val="tx1"/>
                  </w14:solidFill>
                </w14:textFill>
              </w:rPr>
              <w:t>、总铅、总砷、六价铬</w:t>
            </w:r>
            <w:r>
              <w:rPr>
                <w:color w:val="000000" w:themeColor="text1"/>
                <w14:textFill>
                  <w14:solidFill>
                    <w14:schemeClr w14:val="tx1"/>
                  </w14:solidFill>
                </w14:textFill>
              </w:rPr>
              <w:t xml:space="preserve"> </w:t>
            </w:r>
          </w:p>
        </w:tc>
        <w:tc>
          <w:tcPr>
            <w:tcW w:w="36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硫化法、石灰+铁盐法、电化学法、吸附法等深度处理法多个工艺组合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锌冶炼</w:t>
            </w:r>
          </w:p>
        </w:tc>
        <w:tc>
          <w:tcPr>
            <w:tcW w:w="380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pH、COD、悬浮物、氨氮、总磷、总氮、硫化物、氟化物、总锌、总铜、总铅、总镉、总神、总汞、总铬、总镍</w:t>
            </w:r>
          </w:p>
        </w:tc>
        <w:tc>
          <w:tcPr>
            <w:tcW w:w="36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石灰中和法（LDS法）、高密度泥浆法（HDS法）、硫化法石灰—铁盐（铝盐）法、生物制剂法、电化学法、膜分离法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2"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再生锌</w:t>
            </w:r>
          </w:p>
        </w:tc>
        <w:tc>
          <w:tcPr>
            <w:tcW w:w="3800"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pH值、化学需氧量、悬浮物、石油类、氨氮、总氮、总磷、总铜、总锌、硫化物、总铅、总神、总镍、总锅、总铬、总汞</w:t>
            </w:r>
          </w:p>
        </w:tc>
        <w:tc>
          <w:tcPr>
            <w:tcW w:w="3639"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石灰中和法（LDS法）、高密度泥浆法（HDS法）、石灰-铁盐（铝盐）法、</w:t>
            </w:r>
          </w:p>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膜分离法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2" w:type="dxa"/>
            <w:vAlign w:val="center"/>
          </w:tcPr>
          <w:p>
            <w:pPr>
              <w:pStyle w:val="36"/>
              <w:rPr>
                <w:color w:val="000000" w:themeColor="text1"/>
                <w14:textFill>
                  <w14:solidFill>
                    <w14:schemeClr w14:val="tx1"/>
                  </w14:solidFill>
                </w14:textFill>
              </w:rPr>
            </w:pPr>
          </w:p>
        </w:tc>
        <w:tc>
          <w:tcPr>
            <w:tcW w:w="3800" w:type="dxa"/>
            <w:vAlign w:val="center"/>
          </w:tcPr>
          <w:p>
            <w:pPr>
              <w:pStyle w:val="36"/>
              <w:rPr>
                <w:color w:val="000000" w:themeColor="text1"/>
                <w14:textFill>
                  <w14:solidFill>
                    <w14:schemeClr w14:val="tx1"/>
                  </w14:solidFill>
                </w14:textFill>
              </w:rPr>
            </w:pPr>
          </w:p>
        </w:tc>
        <w:tc>
          <w:tcPr>
            <w:tcW w:w="3639" w:type="dxa"/>
            <w:vAlign w:val="center"/>
          </w:tcPr>
          <w:p>
            <w:pPr>
              <w:pStyle w:val="36"/>
              <w:rPr>
                <w:color w:val="000000" w:themeColor="text1"/>
                <w14:textFill>
                  <w14:solidFill>
                    <w14:schemeClr w14:val="tx1"/>
                  </w14:solidFill>
                </w14:textFill>
              </w:rPr>
            </w:pPr>
          </w:p>
        </w:tc>
      </w:tr>
    </w:tbl>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在官庄片区园区核准范围内，建设有金矿选矿场和冶炼生产线，本次提出金矿选矿、冶炼的相关水污染防治的技术要求：</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w:t>
      </w:r>
      <w:r>
        <w:rPr>
          <w:color w:val="000000" w:themeColor="text1"/>
          <w:lang w:val="en-US"/>
          <w14:textFill>
            <w14:solidFill>
              <w14:schemeClr w14:val="tx1"/>
            </w14:solidFill>
          </w14:textFill>
        </w:rPr>
        <w:t>鼓励金精矿预处理过程产生的酸性废水用于处理氰化尾渣。4.鼓励将氰化工艺循环水中的硫氰化物转化为氰化物进行回用。</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w:t>
      </w:r>
      <w:r>
        <w:rPr>
          <w:color w:val="000000" w:themeColor="text1"/>
          <w:lang w:val="en-US"/>
          <w14:textFill>
            <w14:solidFill>
              <w14:schemeClr w14:val="tx1"/>
            </w14:solidFill>
          </w14:textFill>
        </w:rPr>
        <w:t>对含氰废水宜采用臭氧法、双氧水法等二次污染少的方法进行无害化处理。</w:t>
      </w:r>
    </w:p>
    <w:p>
      <w:pPr>
        <w:pStyle w:val="51"/>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3、</w:t>
      </w:r>
      <w:r>
        <w:rPr>
          <w:color w:val="000000" w:themeColor="text1"/>
          <w:lang w:val="en-US"/>
          <w14:textFill>
            <w14:solidFill>
              <w14:schemeClr w14:val="tx1"/>
            </w14:solidFill>
          </w14:textFill>
        </w:rPr>
        <w:t>生活污水宜单独收集并根据其去向合理处理后进行生产、绿化、冲洗等综合利用，其水质应达到相应要求。</w:t>
      </w:r>
    </w:p>
    <w:p>
      <w:pPr>
        <w:pStyle w:val="32"/>
        <w:rPr>
          <w:color w:val="000000" w:themeColor="text1"/>
          <w14:textFill>
            <w14:solidFill>
              <w14:schemeClr w14:val="tx1"/>
            </w14:solidFill>
          </w14:textFill>
        </w:rPr>
      </w:pPr>
      <w:r>
        <w:rPr>
          <w:color w:val="000000" w:themeColor="text1"/>
          <w14:textFill>
            <w14:solidFill>
              <w14:schemeClr w14:val="tx1"/>
            </w14:solidFill>
          </w14:textFill>
        </w:rPr>
        <w:t>声环境保护方案</w:t>
      </w:r>
    </w:p>
    <w:p>
      <w:pPr>
        <w:pStyle w:val="34"/>
        <w:rPr>
          <w:color w:val="000000" w:themeColor="text1"/>
          <w14:textFill>
            <w14:solidFill>
              <w14:schemeClr w14:val="tx1"/>
            </w14:solidFill>
          </w14:textFill>
        </w:rPr>
      </w:pPr>
      <w:r>
        <w:rPr>
          <w:color w:val="000000" w:themeColor="text1"/>
          <w14:textFill>
            <w14:solidFill>
              <w14:schemeClr w14:val="tx1"/>
            </w14:solidFill>
          </w14:textFill>
        </w:rPr>
        <w:t>工业噪声治理措施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建议工业区内的企业在噪声污染控制上做到：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（1）从噪声源上控制噪声是最积极、最有效、最合理的措施之一。各企业生产设备和辅助设备在选型、采购时应考虑使用低噪声、低振动的设备，从源头上控制噪声。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对各企业而言，要针对不同的噪声源特性，采取不同的控制措施。如可采用消声器来降低空气动力设备的进排气口噪声和沿管道传播的噪声；采用吸声材料、吸声结构来降低噪声发射引起的混响声；此外还可在噪声传播途径上设置隔声罩、隔声室、隔声屏、隔声棚、隔声门、隔声窗等来阻挡噪声传播。</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（3）优化工业区内部布局，将一些主要以噪声污染为主的企业设置在远离居住区的一侧。</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各工业企业应尽可能将高噪声设备布置在厂区的中央，以增加噪声的自然衰减距离，发挥建筑阻挡噪声传播的作用，既可减少车间噪声对外环境的影响，同时又可减少噪声治理费用。此外各企业噪声污染防治设施必须与主体工程同时设计、同时施工、同时投产使用，确保防治环境噪声污染的设施必须正常使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（5）各工厂企业在厂区车间外、厂区道路两侧、厂区围墙内侧均应进行绿化设计，既美化环境，又有降噪、除尘作用。</w:t>
      </w:r>
    </w:p>
    <w:p>
      <w:pPr>
        <w:pStyle w:val="34"/>
        <w:rPr>
          <w:color w:val="000000" w:themeColor="text1"/>
          <w:lang w:val="en-GB"/>
          <w14:textFill>
            <w14:solidFill>
              <w14:schemeClr w14:val="tx1"/>
            </w14:solidFill>
          </w14:textFill>
        </w:rPr>
      </w:pPr>
      <w:r>
        <w:rPr>
          <w:color w:val="000000" w:themeColor="text1"/>
          <w:lang w:val="en-GB"/>
          <w14:textFill>
            <w14:solidFill>
              <w14:schemeClr w14:val="tx1"/>
            </w14:solidFill>
          </w14:textFill>
        </w:rPr>
        <w:t>交通噪声治理措施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交通噪声的防治需要从道路的规划设计、交通车辆行驶噪声的降低和交通噪声的管理三方面入手：</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（1）道路的规划设计。区内道路呈方格网状布局，在交通干道两侧应预留一定距离的缓冲带，在该缓冲带内栽植混合林带，品种可以是草皮、乔灌木和常青绿篱等。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（2）控制车辆噪声源强。机动车辆是交通噪声的污染源，降低车辆的行驶噪声意义重大。凡是噪声超过国家标准的车辆不得在道路上行驶；任何车辆都必须保持良好的运行状态，安装排气消声器。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（3）交通管理措施。工业区内应加强交通管理，保持区域道路畅通，交通秩序良好；对路面加强维护保养，提高车辆通行能力和行车的平稳性。</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（4）增加居住用地与公路之间的绿化缓冲用地。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（5）居住区与交通干线接的第一排建筑宜为商业、娱乐和公共设施等非噪声敏感性建筑，将交通影响减至最低限度。</w:t>
      </w:r>
    </w:p>
    <w:p>
      <w:pPr>
        <w:pStyle w:val="34"/>
        <w:rPr>
          <w:color w:val="000000" w:themeColor="text1"/>
          <w:lang w:val="en-GB"/>
          <w14:textFill>
            <w14:solidFill>
              <w14:schemeClr w14:val="tx1"/>
            </w14:solidFill>
          </w14:textFill>
        </w:rPr>
      </w:pPr>
      <w:r>
        <w:rPr>
          <w:color w:val="000000" w:themeColor="text1"/>
          <w:lang w:val="en-GB"/>
          <w14:textFill>
            <w14:solidFill>
              <w14:schemeClr w14:val="tx1"/>
            </w14:solidFill>
          </w14:textFill>
        </w:rPr>
        <w:t>建筑施工噪声控制</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筑施工噪声是开发建设过程中的重要噪声源。由于施工噪声源种类繁多，并且具有分散、声源强弱不一、阶段性的特点，噪声控制比较难。建筑施工噪声在不同的施工阶段影响是不同的，其对环境的污染主要在土石方、基础和结构施工阶段。施工机械中的高噪声设备有打桩机、振动棒、电锯、搅拌机、切割机、运输车辆等。对建设施工噪声可从以下几方面加以控制和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1、严格执行建设项目登记、审批制度，掌握施工地点、施工时间、主要噪声源及拟采取的治理措施；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2、加强施工期间的环境监理工作，检查噪声治理措施的落实情况，限制施工机械和施工作业时间，尤其是限制高噪声源设备的使用；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3、禁止夜间施工，特殊情况应根据施工场地周围居住人口分布情况，发放夜间施工许可证，敏感地区应设临时性声障；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4、建设中采取低噪声的施工工艺，如用液压打桩代替冲击打桩，用低噪声施工设备代替传统的高噪声设备；</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5、加强对施工工地的管理和施工人员的环境意识教育，教育施工人员文明施工，消除不必要的噪声，以减少施工噪声污染危害。</w:t>
      </w:r>
    </w:p>
    <w:p>
      <w:pPr>
        <w:pStyle w:val="32"/>
        <w:rPr>
          <w:color w:val="000000" w:themeColor="text1"/>
          <w14:textFill>
            <w14:solidFill>
              <w14:schemeClr w14:val="tx1"/>
            </w14:solidFill>
          </w14:textFill>
        </w:rPr>
      </w:pPr>
      <w:r>
        <w:rPr>
          <w:color w:val="000000" w:themeColor="text1"/>
          <w14:textFill>
            <w14:solidFill>
              <w14:schemeClr w14:val="tx1"/>
            </w14:solidFill>
          </w14:textFill>
        </w:rPr>
        <w:t>固体废物处理方案</w:t>
      </w:r>
    </w:p>
    <w:p>
      <w:pPr>
        <w:pStyle w:val="34"/>
        <w:rPr>
          <w:color w:val="000000" w:themeColor="text1"/>
          <w14:textFill>
            <w14:solidFill>
              <w14:schemeClr w14:val="tx1"/>
            </w14:solidFill>
          </w14:textFill>
        </w:rPr>
      </w:pPr>
      <w:r>
        <w:rPr>
          <w:color w:val="000000" w:themeColor="text1"/>
          <w14:textFill>
            <w14:solidFill>
              <w14:schemeClr w14:val="tx1"/>
            </w14:solidFill>
          </w14:textFill>
        </w:rPr>
        <w:t>危险废物</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凡是列入《国家危险废物名录》或者根据国家规定的危险废物鉴别标准和鉴别方法认定的具有危险特性的废物，包括固体、液体等，需视为危险废物。危险废物不可与其他固体废物混合，以防止对地下水、土壤和大气造成二次污染，对有毒有害废物100%集中分类处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（1）分类收集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园区内产生危险废物的企业应按照《国家危险废物名录》将产生的危险废物分类收集，收集储存的容器应有显著的危险废物类别标记。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（2）储存和处置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各产生危险废物的企业应按照《危险废物贮存污染物控制标准》（GB18597-20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）及其修改单的要求，设计、建造或改建专门存放危险废物的设施，按废物的化学性质和危害等进行分类堆放。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危险废物最终交由具有相应资质的危险废物处置单位安全处置。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（3）危险废物的交换和转移</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危险废物处置、转运应按颁发的有关危险废物管理办法规定执行。</w:t>
      </w:r>
    </w:p>
    <w:p>
      <w:pPr>
        <w:pStyle w:val="34"/>
        <w:rPr>
          <w:color w:val="000000" w:themeColor="text1"/>
          <w14:textFill>
            <w14:solidFill>
              <w14:schemeClr w14:val="tx1"/>
            </w14:solidFill>
          </w14:textFill>
        </w:rPr>
      </w:pPr>
      <w:r>
        <w:rPr>
          <w:color w:val="000000" w:themeColor="text1"/>
          <w14:textFill>
            <w14:solidFill>
              <w14:schemeClr w14:val="tx1"/>
            </w14:solidFill>
          </w14:textFill>
        </w:rPr>
        <w:t>一般固体废物</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一般工业固体废物本着“谁产生、谁处理”的原则，其收集、贮运和处置均由产生固体废物的生产企业负责，由园区环境管理机构进行监督。</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目前园区并没有建设一般固体废物的集中处置场所，本轮规划也并未规划该类项目。园区应加强一般固体废物的综合利用。</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目前园区还未建立固体废弃物信息中心，建园区尽快建立固体废弃物信息中心，及时将各企业产生的各种固体废弃物相关信息公布，便于各企业选择适合本企业的“废料”加以利用。加强规划区企业与园外企业的合作，形成有效的交流机制，便于固废的有效利用。</w:t>
      </w:r>
    </w:p>
    <w:p>
      <w:pPr>
        <w:pStyle w:val="34"/>
        <w:rPr>
          <w:color w:val="000000" w:themeColor="text1"/>
          <w14:textFill>
            <w14:solidFill>
              <w14:schemeClr w14:val="tx1"/>
            </w14:solidFill>
          </w14:textFill>
        </w:rPr>
      </w:pPr>
      <w:r>
        <w:rPr>
          <w:color w:val="000000" w:themeColor="text1"/>
          <w14:textFill>
            <w14:solidFill>
              <w14:schemeClr w14:val="tx1"/>
            </w14:solidFill>
          </w14:textFill>
        </w:rPr>
        <w:t>生活垃圾</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园区应推广建设生活垃圾分类收集和管理系统，从源头对生活垃圾进行分类收集，并对可回收部分进行资源化利用，不可回收部分再送往垃圾</w:t>
      </w:r>
      <w:r>
        <w:rPr>
          <w:rFonts w:hint="eastAsia"/>
          <w:color w:val="000000" w:themeColor="text1"/>
          <w14:textFill>
            <w14:solidFill>
              <w14:schemeClr w14:val="tx1"/>
            </w14:solidFill>
          </w14:textFill>
        </w:rPr>
        <w:t>焚烧发电厂</w:t>
      </w:r>
      <w:r>
        <w:rPr>
          <w:color w:val="000000" w:themeColor="text1"/>
          <w14:textFill>
            <w14:solidFill>
              <w14:schemeClr w14:val="tx1"/>
            </w14:solidFill>
          </w14:textFill>
        </w:rPr>
        <w:t>处理。</w:t>
      </w:r>
    </w:p>
    <w:p>
      <w:pPr>
        <w:pStyle w:val="32"/>
        <w:rPr>
          <w:color w:val="000000" w:themeColor="text1"/>
          <w14:textFill>
            <w14:solidFill>
              <w14:schemeClr w14:val="tx1"/>
            </w14:solidFill>
          </w14:textFill>
        </w:rPr>
      </w:pPr>
      <w:r>
        <w:rPr>
          <w:color w:val="000000" w:themeColor="text1"/>
          <w14:textFill>
            <w14:solidFill>
              <w14:schemeClr w14:val="tx1"/>
            </w14:solidFill>
          </w14:textFill>
        </w:rPr>
        <w:t>土壤环境保护方案</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园区要根据工业企业分布和污染排放情况，确定土壤环境重点监管企业名单，实行动态更新，并向社会公布。列入名单的企业每年要自行对其用地进行土壤环境监测，结果向社会公开。有关环境保护部门要定期对重点监管企业和工业园区周边开展监测，数据及时上传土壤环境信息化管理平台，结果作为环境执法和风险预警的重要依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园区在规划实施过程中必然存在部分企业搬迁的问题，在企业搬迁后应开展原场址的土壤污染场地调查与风险评价。若确认存在土壤污染风险的，土壤污染治理应按照“谁污染，谁治理”原则，造成土壤污染的单位或个人要承担治理与修复的主体责任。</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（3）对于改变土地利用性能的地块，必须进行土壤污染状况监测、评估，不能满足使用功能的，应进行土壤修复。</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（4）按照科学有序原则开发利用有条件建设用地，防止造成土壤污染。依法严查向区内尚未建设用地非法排污、倾倒有毒有害物质的环境违法行为。</w:t>
      </w:r>
    </w:p>
    <w:p>
      <w:pPr>
        <w:pStyle w:val="32"/>
        <w:rPr>
          <w:color w:val="000000" w:themeColor="text1"/>
          <w14:textFill>
            <w14:solidFill>
              <w14:schemeClr w14:val="tx1"/>
            </w14:solidFill>
          </w14:textFill>
        </w:rPr>
      </w:pPr>
      <w:r>
        <w:rPr>
          <w:color w:val="000000" w:themeColor="text1"/>
          <w14:textFill>
            <w14:solidFill>
              <w14:schemeClr w14:val="tx1"/>
            </w14:solidFill>
          </w14:textFill>
        </w:rPr>
        <w:t>地下水环境保护方案</w:t>
      </w:r>
    </w:p>
    <w:p>
      <w:pPr>
        <w:pStyle w:val="34"/>
        <w:rPr>
          <w:color w:val="000000" w:themeColor="text1"/>
          <w14:textFill>
            <w14:solidFill>
              <w14:schemeClr w14:val="tx1"/>
            </w14:solidFill>
          </w14:textFill>
        </w:rPr>
      </w:pPr>
      <w:r>
        <w:rPr>
          <w:color w:val="000000" w:themeColor="text1"/>
          <w14:textFill>
            <w14:solidFill>
              <w14:schemeClr w14:val="tx1"/>
            </w14:solidFill>
          </w14:textFill>
        </w:rPr>
        <w:t>源头控制措施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建设项目使用先进、成熟、可靠的工艺技术工艺，良好的管道、设备和污水储存设施采用较清洁的原辅材料，对产生的废水进行合理的治理和综合利用，尽可能从源头上减少污染物产生。严格按照国家相关规范要求，对工艺、管道、设备、污水储存及处理构筑物采取相应的措施，以防止和降低污染物的跑、冒、滴、漏。管线铺设尽量采用可视化原则，做到污染物早发现早处理。</w:t>
      </w:r>
    </w:p>
    <w:p>
      <w:pPr>
        <w:pStyle w:val="34"/>
        <w:rPr>
          <w:color w:val="000000" w:themeColor="text1"/>
          <w14:textFill>
            <w14:solidFill>
              <w14:schemeClr w14:val="tx1"/>
            </w14:solidFill>
          </w14:textFill>
        </w:rPr>
      </w:pPr>
      <w:r>
        <w:rPr>
          <w:color w:val="000000" w:themeColor="text1"/>
          <w14:textFill>
            <w14:solidFill>
              <w14:schemeClr w14:val="tx1"/>
            </w14:solidFill>
          </w14:textFill>
        </w:rPr>
        <w:t>分区防渗</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各企业根据装置、单元的特点和所处的区域及部位，将建设场地划分为重点污染防治区、一般污染防治区和非污染防治区。</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（1）重点防渗区</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涉及危险化学品的装置区、罐区、化学品存储区、危险废物贮存场所、污水处理站应进行重点防渗，防渗要求如下：</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采用天然防渗材料进行防渗，天然材料防渗层饱和渗透系数不应大于1.0×10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cm/s，厚度不应小于2m。</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采用刚性防渗结构时，采用水泥基渗透结晶型抗渗混凝土（厚度不宜小于150mm）+水泥基渗透结晶型防渗涂层（厚度不小于0.8mm）结构型式。防渗结构层渗透系数不应大于1.0×10</w:t>
      </w:r>
      <w:r>
        <w:rPr>
          <w:color w:val="000000" w:themeColor="text1"/>
          <w:vertAlign w:val="superscript"/>
          <w14:textFill>
            <w14:solidFill>
              <w14:schemeClr w14:val="tx1"/>
            </w14:solidFill>
          </w14:textFill>
        </w:rPr>
        <w:t>-10</w:t>
      </w:r>
      <w:r>
        <w:rPr>
          <w:color w:val="000000" w:themeColor="text1"/>
          <w14:textFill>
            <w14:solidFill>
              <w14:schemeClr w14:val="tx1"/>
            </w14:solidFill>
          </w14:textFill>
        </w:rPr>
        <w:t>cm/s。</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采用复合防渗结构时，水泥基渗透结晶型抗渗混凝土（厚度不宜小于150mm）+水基渗透结晶型防渗涂层（厚度不小于0.8mm）结构型式。防渗结构层渗透系数不应大于1.0×10</w:t>
      </w:r>
      <w:r>
        <w:rPr>
          <w:color w:val="000000" w:themeColor="text1"/>
          <w:vertAlign w:val="superscript"/>
          <w14:textFill>
            <w14:solidFill>
              <w14:schemeClr w14:val="tx1"/>
            </w14:solidFill>
          </w14:textFill>
        </w:rPr>
        <w:t>-10</w:t>
      </w:r>
      <w:r>
        <w:rPr>
          <w:color w:val="000000" w:themeColor="text1"/>
          <w14:textFill>
            <w14:solidFill>
              <w14:schemeClr w14:val="tx1"/>
            </w14:solidFill>
          </w14:textFill>
        </w:rPr>
        <w:t>cm/s。</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危险废物贮存场所应按照《危险废物贮存污染控制标准》（GB18597-20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的要求</w:t>
      </w:r>
      <w:r>
        <w:rPr>
          <w:color w:val="000000" w:themeColor="text1"/>
          <w14:textFill>
            <w14:solidFill>
              <w14:schemeClr w14:val="tx1"/>
            </w14:solidFill>
          </w14:textFill>
        </w:rPr>
        <w:t>进行防渗。</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（2）一般防渗区</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对于一般物料堆放场地等一般污染防渗区，</w:t>
      </w:r>
      <w:r>
        <w:rPr>
          <w:rFonts w:hint="eastAsia"/>
          <w:color w:val="000000" w:themeColor="text1"/>
          <w14:textFill>
            <w14:solidFill>
              <w14:schemeClr w14:val="tx1"/>
            </w14:solidFill>
          </w14:textFill>
        </w:rPr>
        <w:t>等效粘土防渗层大于1.5m，</w:t>
      </w:r>
      <w:r>
        <w:rPr>
          <w:color w:val="000000" w:themeColor="text1"/>
          <w14:textFill>
            <w14:solidFill>
              <w14:schemeClr w14:val="tx1"/>
            </w14:solidFill>
          </w14:textFill>
        </w:rPr>
        <w:t>渗透系数不应大于1.0×10</w:t>
      </w:r>
      <w:r>
        <w:rPr>
          <w:color w:val="000000" w:themeColor="text1"/>
          <w:vertAlign w:val="superscript"/>
          <w14:textFill>
            <w14:solidFill>
              <w14:schemeClr w14:val="tx1"/>
            </w14:solidFill>
          </w14:textFill>
        </w:rPr>
        <w:t>-</w:t>
      </w:r>
      <w:r>
        <w:rPr>
          <w:rFonts w:hint="eastAsia"/>
          <w:color w:val="000000" w:themeColor="text1"/>
          <w:vertAlign w:val="superscript"/>
          <w14:textFill>
            <w14:solidFill>
              <w14:schemeClr w14:val="tx1"/>
            </w14:solidFill>
          </w14:textFill>
        </w:rPr>
        <w:t>7</w:t>
      </w:r>
      <w:r>
        <w:rPr>
          <w:color w:val="000000" w:themeColor="text1"/>
          <w14:textFill>
            <w14:solidFill>
              <w14:schemeClr w14:val="tx1"/>
            </w14:solidFill>
          </w14:textFill>
        </w:rPr>
        <w:t>cm/s。</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（3）简单防渗区</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没有物料或污染物泄漏，不会对地下水环境造成污染的区域或部位。主要包括厂区内绿化带、人行道路等。该区域进行地面硬化即可。</w:t>
      </w:r>
    </w:p>
    <w:p>
      <w:pPr>
        <w:pStyle w:val="34"/>
        <w:rPr>
          <w:color w:val="000000" w:themeColor="text1"/>
          <w14:textFill>
            <w14:solidFill>
              <w14:schemeClr w14:val="tx1"/>
            </w14:solidFill>
          </w14:textFill>
        </w:rPr>
      </w:pPr>
      <w:r>
        <w:rPr>
          <w:color w:val="000000" w:themeColor="text1"/>
          <w14:textFill>
            <w14:solidFill>
              <w14:schemeClr w14:val="tx1"/>
            </w14:solidFill>
          </w14:textFill>
        </w:rPr>
        <w:t>环境监测与应急措施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为了及时准确地掌握规划区周围地下水环境污染控制状况，应建立地下水监控体系，及时发现污染、及时控制。通过地下水监测井监测数据及反馈启动应急处置方案，及时发现地下水污染事故及其影响范围和程度，为启动地下水应急措施提供信息保障。</w:t>
      </w:r>
    </w:p>
    <w:p>
      <w:pPr>
        <w:pStyle w:val="32"/>
        <w:rPr>
          <w:color w:val="000000" w:themeColor="text1"/>
          <w14:textFill>
            <w14:solidFill>
              <w14:schemeClr w14:val="tx1"/>
            </w14:solidFill>
          </w14:textFill>
        </w:rPr>
      </w:pPr>
      <w:r>
        <w:rPr>
          <w:color w:val="000000" w:themeColor="text1"/>
          <w14:textFill>
            <w14:solidFill>
              <w14:schemeClr w14:val="tx1"/>
            </w14:solidFill>
          </w14:textFill>
        </w:rPr>
        <w:t>生态环境保护方案</w:t>
      </w:r>
    </w:p>
    <w:p>
      <w:pPr>
        <w:pStyle w:val="34"/>
        <w:rPr>
          <w:color w:val="000000" w:themeColor="text1"/>
          <w14:textFill>
            <w14:solidFill>
              <w14:schemeClr w14:val="tx1"/>
            </w14:solidFill>
          </w14:textFill>
        </w:rPr>
      </w:pPr>
      <w:r>
        <w:rPr>
          <w:color w:val="000000" w:themeColor="text1"/>
          <w14:textFill>
            <w14:solidFill>
              <w14:schemeClr w14:val="tx1"/>
            </w14:solidFill>
          </w14:textFill>
        </w:rPr>
        <w:t>生态补偿措施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开发建设过程将对现有的生态环境带来一定的影响，为使园区开发建设和环境保护协调发展，园区应以生态美学观和务实节俭的精神进行区域的生态建设，强化园区内部生态修复，净化和改善区域环境；加强区域周边生态建设，净化和控制污染影响范围。</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园区设置隔离绿带、道路绿地、公共集中绿地，共同交织渗透形成绿地系统结构。</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1、防护绿地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防护绿地主要沿区内主要道路布置。防护绿地种类包括林地及草坪。工业区需从安全、生态和景观角度出发，通过植物有机搭配满足道路和市政设施的安全防护。植物选择需适应地方气候、土壤特点，谨慎选择用于防护绿地的植物，避免出现物种的“水土不服”。电力、管廊、道路于一体的综合廊道，可以引入适应性强的草本植物固化土壤，在不影响工程设施的前提下有选择地布置乔木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2、公共绿地</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公共绿地包括道路街头绿地和集中绿地（公园）。沿区内内部联系的道路两侧设置街头绿地，起到降低污染，减少浮尘，净化空气和美化道路景观作用。集中绿地形成户外开放空间，便利产业职工休憩、交往，同时也可美化园区绿色环境、就近收集排水。绿化建设应采用“点、线、面”相结合的方式，结合水面形成良好的绿地、广场景观系统。居住区绿化、单位绿化及各类建设项目的配套绿化都要达到《城市绿化规划建设指标的规定》的标准，形成各类绿地合理配置，以植树造林为主，乔、灌、花、草有机搭配的城市绿化体系。根据植物特性合</w:t>
      </w:r>
      <w:r>
        <w:rPr>
          <w:rFonts w:hint="eastAsia"/>
          <w:color w:val="000000" w:themeColor="text1"/>
          <w14:textFill>
            <w14:solidFill>
              <w14:schemeClr w14:val="tx1"/>
            </w14:solidFill>
          </w14:textFill>
        </w:rPr>
        <w:t>理分</w:t>
      </w:r>
      <w:r>
        <w:rPr>
          <w:color w:val="000000" w:themeColor="text1"/>
          <w14:textFill>
            <w14:solidFill>
              <w14:schemeClr w14:val="tx1"/>
            </w14:solidFill>
          </w14:textFill>
        </w:rPr>
        <w:t>配植物群落，提高一次存活率，美化环境。</w:t>
      </w:r>
    </w:p>
    <w:p>
      <w:pPr>
        <w:pStyle w:val="34"/>
        <w:rPr>
          <w:color w:val="000000" w:themeColor="text1"/>
          <w14:textFill>
            <w14:solidFill>
              <w14:schemeClr w14:val="tx1"/>
            </w14:solidFill>
          </w14:textFill>
        </w:rPr>
      </w:pPr>
      <w:r>
        <w:rPr>
          <w:color w:val="000000" w:themeColor="text1"/>
          <w14:textFill>
            <w14:solidFill>
              <w14:schemeClr w14:val="tx1"/>
            </w14:solidFill>
          </w14:textFill>
        </w:rPr>
        <w:t>水土流失防治措施</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水土流失的发生、发展、加剧，与人类不合理的开发活动息息相关。凡在生产建设过程中造成水土流失的，都必须采取相应的防治措施对水土流失进行治理。水土流失防治措施包括：禁止随意取土、取沙、取石、弃土、弃渣行为；尽快实施现有物料堆场、工业废渣堆场的综合整治；做好园区绿化工作，提高植被覆盖率；各种施工活动应尽可能减少植被破坏，避开雨季，及时做好施工结束后的植被恢复工作；绿化和恢复的植被种类应以规划区域原始植被种类和地方特有物种为主，保持与周边生态系统的一致性等等。</w:t>
      </w:r>
    </w:p>
    <w:p>
      <w:pPr>
        <w:pStyle w:val="52"/>
        <w:rPr>
          <w:color w:val="000000" w:themeColor="text1"/>
          <w14:textFill>
            <w14:solidFill>
              <w14:schemeClr w14:val="tx1"/>
            </w14:solidFill>
          </w14:textFill>
        </w:rPr>
      </w:pPr>
      <w:r>
        <w:rPr>
          <w:color w:val="000000" w:themeColor="text1"/>
          <w14:textFill>
            <w14:solidFill>
              <w14:schemeClr w14:val="tx1"/>
            </w14:solidFill>
          </w14:textFill>
        </w:rPr>
        <w:t>水土保持措施一览表</w:t>
      </w:r>
    </w:p>
    <w:tbl>
      <w:tblPr>
        <w:tblStyle w:val="40"/>
        <w:tblW w:w="85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666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措施类型</w:t>
            </w:r>
          </w:p>
        </w:tc>
        <w:tc>
          <w:tcPr>
            <w:tcW w:w="666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水土保持措施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工程措施</w:t>
            </w:r>
          </w:p>
        </w:tc>
        <w:tc>
          <w:tcPr>
            <w:tcW w:w="666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表土剥离回填、排水沟、排水管网</w:t>
            </w:r>
            <w:r>
              <w:rPr>
                <w:rFonts w:hint="eastAsia"/>
                <w:color w:val="000000" w:themeColor="text1"/>
                <w14:textFill>
                  <w14:solidFill>
                    <w14:schemeClr w14:val="tx1"/>
                  </w14:solidFill>
                </w14:textFill>
              </w:rPr>
              <w:t>、透水砖铺装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植物措施</w:t>
            </w:r>
          </w:p>
        </w:tc>
        <w:tc>
          <w:tcPr>
            <w:tcW w:w="6663" w:type="dxa"/>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平面景观绿化、边坡绿化、</w:t>
            </w:r>
            <w:r>
              <w:rPr>
                <w:color w:val="000000" w:themeColor="text1"/>
                <w14:textFill>
                  <w14:solidFill>
                    <w14:schemeClr w14:val="tx1"/>
                  </w14:solidFill>
                </w14:textFill>
              </w:rPr>
              <w:t>撒播草籽、三维网植草绿化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66"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临时措施</w:t>
            </w:r>
          </w:p>
        </w:tc>
        <w:tc>
          <w:tcPr>
            <w:tcW w:w="666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临时排水沟、</w:t>
            </w:r>
            <w:r>
              <w:rPr>
                <w:rFonts w:hint="eastAsia"/>
                <w:color w:val="000000" w:themeColor="text1"/>
                <w14:textFill>
                  <w14:solidFill>
                    <w14:schemeClr w14:val="tx1"/>
                  </w14:solidFill>
                </w14:textFill>
              </w:rPr>
              <w:t>沉沙池</w:t>
            </w:r>
            <w:r>
              <w:rPr>
                <w:color w:val="000000" w:themeColor="text1"/>
                <w14:textFill>
                  <w14:solidFill>
                    <w14:schemeClr w14:val="tx1"/>
                  </w14:solidFill>
                </w14:textFill>
              </w:rPr>
              <w:t>、临时苫盖、临时拦挡</w:t>
            </w:r>
            <w:r>
              <w:rPr>
                <w:rFonts w:hint="eastAsia"/>
                <w:color w:val="000000" w:themeColor="text1"/>
                <w14:textFill>
                  <w14:solidFill>
                    <w14:schemeClr w14:val="tx1"/>
                  </w14:solidFill>
                </w14:textFill>
              </w:rPr>
              <w:t>、车辆清洁池</w:t>
            </w:r>
          </w:p>
        </w:tc>
      </w:tr>
    </w:tbl>
    <w:p>
      <w:pPr>
        <w:pStyle w:val="28"/>
        <w:rPr>
          <w:color w:val="000000" w:themeColor="text1"/>
          <w14:textFill>
            <w14:solidFill>
              <w14:schemeClr w14:val="tx1"/>
            </w14:solidFill>
          </w14:textFill>
        </w:rPr>
      </w:pPr>
      <w:bookmarkStart w:id="44" w:name="_Toc236641284"/>
      <w:r>
        <w:rPr>
          <w:color w:val="000000" w:themeColor="text1"/>
          <w14:textFill>
            <w14:solidFill>
              <w14:schemeClr w14:val="tx1"/>
            </w14:solidFill>
          </w14:textFill>
        </w:rPr>
        <w:t>环境影响跟踪评价与规划所包含建设项目环评要求</w:t>
      </w:r>
      <w:bookmarkEnd w:id="44"/>
    </w:p>
    <w:p>
      <w:pPr>
        <w:pStyle w:val="30"/>
        <w:rPr>
          <w:color w:val="000000" w:themeColor="text1"/>
          <w14:textFill>
            <w14:solidFill>
              <w14:schemeClr w14:val="tx1"/>
            </w14:solidFill>
          </w14:textFill>
        </w:rPr>
      </w:pPr>
      <w:bookmarkStart w:id="45" w:name="_Toc236641285"/>
      <w:r>
        <w:rPr>
          <w:color w:val="000000" w:themeColor="text1"/>
          <w14:textFill>
            <w14:solidFill>
              <w14:schemeClr w14:val="tx1"/>
            </w14:solidFill>
          </w14:textFill>
        </w:rPr>
        <w:t>环境影响跟踪评价计划</w:t>
      </w:r>
      <w:bookmarkEnd w:id="45"/>
    </w:p>
    <w:p>
      <w:pPr>
        <w:pStyle w:val="32"/>
        <w:rPr>
          <w:color w:val="000000" w:themeColor="text1"/>
          <w14:textFill>
            <w14:solidFill>
              <w14:schemeClr w14:val="tx1"/>
            </w14:solidFill>
          </w14:textFill>
        </w:rPr>
      </w:pPr>
      <w:r>
        <w:rPr>
          <w:color w:val="000000" w:themeColor="text1"/>
          <w14:textFill>
            <w14:solidFill>
              <w14:schemeClr w14:val="tx1"/>
            </w14:solidFill>
          </w14:textFill>
        </w:rPr>
        <w:t>跟踪环境影响评价的目的</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本次环境影响评价全面系统地调查了评价区域环境现状，结合区域环境特征，进行了环境质量现状评价及影响预测评价，分析了</w:t>
      </w:r>
      <w:r>
        <w:rPr>
          <w:rFonts w:hint="eastAsia"/>
          <w:color w:val="000000" w:themeColor="text1"/>
          <w14:textFill>
            <w14:solidFill>
              <w14:schemeClr w14:val="tx1"/>
            </w14:solidFill>
          </w14:textFill>
        </w:rPr>
        <w:t>沅陵产业开发区</w:t>
      </w:r>
      <w:r>
        <w:rPr>
          <w:color w:val="000000" w:themeColor="text1"/>
          <w14:textFill>
            <w14:solidFill>
              <w14:schemeClr w14:val="tx1"/>
            </w14:solidFill>
          </w14:textFill>
        </w:rPr>
        <w:t>建设中存在的主要环境问题，提出了力求减轻或避免环境影响的措施和对策，为协调区域经济建设和环境保护之间的关系提供了依据。但是由于规划存在一定的不确定因素，如开发利用进度、入园的具体建设项目、污染物的最终排放形式、排放量以及具体环保设施等等</w:t>
      </w:r>
      <w:r>
        <w:rPr>
          <w:rFonts w:hint="eastAsia"/>
          <w:color w:val="000000" w:themeColor="text1"/>
          <w14:textFill>
            <w14:solidFill>
              <w14:schemeClr w14:val="tx1"/>
            </w14:solidFill>
          </w14:textFill>
        </w:rPr>
        <w:t>不确</w:t>
      </w:r>
      <w:r>
        <w:rPr>
          <w:color w:val="000000" w:themeColor="text1"/>
          <w14:textFill>
            <w14:solidFill>
              <w14:schemeClr w14:val="tx1"/>
            </w14:solidFill>
          </w14:textFill>
        </w:rPr>
        <w:t>定因素，致使环境影响评价不可能十分准确地对未来做出预测，所提措施往往受各种因素影响而与实际情况不完全相符，因此需要进行环境的跟踪评价。</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跟踪评价是对规划实施所产生的环境影响进行监测、分析、评价，用以验证环境影响评价的准确性和判断减缓措施的有效性，并提出改进措施的过程。</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跟踪评价的评价结果应能够为规划的调整及下一轮规划的编制提供参考，同时为园区内的建设项目管理提供依据。</w:t>
      </w:r>
    </w:p>
    <w:p>
      <w:pPr>
        <w:pStyle w:val="32"/>
        <w:rPr>
          <w:color w:val="000000" w:themeColor="text1"/>
          <w14:textFill>
            <w14:solidFill>
              <w14:schemeClr w14:val="tx1"/>
            </w14:solidFill>
          </w14:textFill>
        </w:rPr>
      </w:pPr>
      <w:r>
        <w:rPr>
          <w:color w:val="000000" w:themeColor="text1"/>
          <w14:textFill>
            <w14:solidFill>
              <w14:schemeClr w14:val="tx1"/>
            </w14:solidFill>
          </w14:textFill>
        </w:rPr>
        <w:t>跟踪评价时段</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根据《中华人民共和国环境影响评价法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规划环境影响评价条例》（国务院令第559号）、《规划环境影响评价技术导则总纲》（HJ130-2019）、《规划环境影响跟踪评价技术指南》（试行）、《关于加强产业园区规划环境影响评价有关工作的通知》（环发〔2011〕14号）等文件，“实施五年以上的产业园区规划，规划编制部门应组织开展环境影响的跟踪评价，编制规划的跟踪环境影响报告书，由相应的环境保护行政主管部门组织审核”。</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规划实施范围、适用期限、规模、结构和布局等方面进行重大调整或者修订，应当重新进行规划环境影响评价；如不涉及重大调整或修订，但规划实施超过5年的，应进行跟踪评价。因此自本次规划实施起，园区应每5年进行一次跟踪评价。</w:t>
      </w:r>
    </w:p>
    <w:p>
      <w:pPr>
        <w:pStyle w:val="32"/>
        <w:rPr>
          <w:color w:val="000000" w:themeColor="text1"/>
          <w14:textFill>
            <w14:solidFill>
              <w14:schemeClr w14:val="tx1"/>
            </w14:solidFill>
          </w14:textFill>
        </w:rPr>
      </w:pPr>
      <w:r>
        <w:rPr>
          <w:color w:val="000000" w:themeColor="text1"/>
          <w14:textFill>
            <w14:solidFill>
              <w14:schemeClr w14:val="tx1"/>
            </w14:solidFill>
          </w14:textFill>
        </w:rPr>
        <w:t>跟踪评价的主要内容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环境影响的跟踪评价应当包括下列内容：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（1）区域开发的实际进展和实施内容评价。对照开发区总体规划，分析实际开发内容与时间进度是否与规划一致，存在的主要差异和导致原因。</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区域环境质量现状评价。对环境质量现状进行监测，监测点位、监测因子选择通常与环境影响评价相一致，比较开发区规划实施前后环境质量的变化情况，与环境影响预测结果相比较，评价区域开发环境影响是否在原有的预期值内。</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（3）生态环境保护与环境影响减缓措施的有效性评价。评价环境影响报告书中提出的生态环境保护是否落实到位、各环境影响减缓措施是否合理、适用、有效，在区域开发过程中实际采纳情况等。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（4）公众意见调查。对政府相关职能部门充分征求意见，听取职能部门对区域规划实施的实际看法和建议，同时应征求区内公众对规划实施所产生的环境影响的意见。</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（5）环境管理和监测评价。评价是否按照环境影响报告书中规定的监测点、监测时段、监测因子进行采样，所获取的监测数据是否有代表性、准确性、精密性和完整性，环境管理措施是否可行等。</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（6）跟踪评价结论。总结规划实施过程中存在的主要环境问题，确定为进一步提高规划的环境效益所需的改进措施，对今后的环境管理提出建议。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（7）开展跟踪评价的主体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开展跟踪环境影响评价和监测由</w:t>
      </w:r>
      <w:r>
        <w:rPr>
          <w:rFonts w:hint="eastAsia"/>
          <w:color w:val="000000" w:themeColor="text1"/>
          <w14:textFill>
            <w14:solidFill>
              <w14:schemeClr w14:val="tx1"/>
            </w14:solidFill>
          </w14:textFill>
        </w:rPr>
        <w:t>沅陵产业开发区</w:t>
      </w:r>
      <w:r>
        <w:rPr>
          <w:color w:val="000000" w:themeColor="text1"/>
          <w14:textFill>
            <w14:solidFill>
              <w14:schemeClr w14:val="tx1"/>
            </w14:solidFill>
          </w14:textFill>
        </w:rPr>
        <w:t>管委会组织进行。</w:t>
      </w:r>
    </w:p>
    <w:p>
      <w:pPr>
        <w:pStyle w:val="52"/>
        <w:rPr>
          <w:color w:val="000000" w:themeColor="text1"/>
          <w14:textFill>
            <w14:solidFill>
              <w14:schemeClr w14:val="tx1"/>
            </w14:solidFill>
          </w14:textFill>
        </w:rPr>
      </w:pPr>
      <w:r>
        <w:rPr>
          <w:color w:val="000000" w:themeColor="text1"/>
          <w14:textFill>
            <w14:solidFill>
              <w14:schemeClr w14:val="tx1"/>
            </w14:solidFill>
          </w14:textFill>
        </w:rPr>
        <w:t>跟踪评价计划一览表</w:t>
      </w:r>
    </w:p>
    <w:tbl>
      <w:tblPr>
        <w:tblStyle w:val="40"/>
        <w:tblW w:w="85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5289"/>
        <w:gridCol w:w="682"/>
        <w:gridCol w:w="10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774" w:type="dxa"/>
            <w:gridSpan w:val="2"/>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跟踪评价主要内容</w:t>
            </w:r>
          </w:p>
        </w:tc>
        <w:tc>
          <w:tcPr>
            <w:tcW w:w="682"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时段</w:t>
            </w:r>
          </w:p>
        </w:tc>
        <w:tc>
          <w:tcPr>
            <w:tcW w:w="1073"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实施单位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环境质量变化情况</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对比分析规划实施前后区域环境质量变化情况，评价规划实施后实际发生的环境影响以及区域环境质量的变化趋势。</w:t>
            </w:r>
          </w:p>
        </w:tc>
        <w:tc>
          <w:tcPr>
            <w:tcW w:w="682"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每五年一次</w:t>
            </w:r>
          </w:p>
        </w:tc>
        <w:tc>
          <w:tcPr>
            <w:tcW w:w="1073" w:type="dxa"/>
            <w:vMerge w:val="restart"/>
            <w:vAlign w:val="center"/>
          </w:tcPr>
          <w:p>
            <w:pPr>
              <w:pStyle w:val="36"/>
              <w:rPr>
                <w:color w:val="000000" w:themeColor="text1"/>
                <w14:textFill>
                  <w14:solidFill>
                    <w14:schemeClr w14:val="tx1"/>
                  </w14:solidFill>
                </w14:textFill>
              </w:rPr>
            </w:pPr>
            <w:r>
              <w:rPr>
                <w:rFonts w:hint="eastAsia"/>
                <w:color w:val="000000" w:themeColor="text1"/>
                <w14:textFill>
                  <w14:solidFill>
                    <w14:schemeClr w14:val="tx1"/>
                  </w14:solidFill>
                </w14:textFill>
              </w:rPr>
              <w:t>沅陵产业开发区</w:t>
            </w:r>
            <w:r>
              <w:rPr>
                <w:color w:val="000000" w:themeColor="text1"/>
                <w14:textFill>
                  <w14:solidFill>
                    <w14:schemeClr w14:val="tx1"/>
                  </w14:solidFill>
                </w14:textFill>
              </w:rPr>
              <w:t>管理委员会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规划环评审查意见落实情况</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对照本次规划环评环保部门审查意见，评价各项要求的落实情况。</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规划优化调整建议和环境影响减缓措施的落实情况</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本次规划环评提出的空间管制、总量管控、环境准入清单的落实情况及有效性分析。</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Merge w:val="continue"/>
            <w:vAlign w:val="center"/>
          </w:tcPr>
          <w:p>
            <w:pPr>
              <w:pStyle w:val="36"/>
              <w:rPr>
                <w:color w:val="000000" w:themeColor="text1"/>
                <w14:textFill>
                  <w14:solidFill>
                    <w14:schemeClr w14:val="tx1"/>
                  </w14:solidFill>
                </w14:textFill>
              </w:rPr>
            </w:pP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本次规划环评提出的环境影响减缓措施的落实情况及有效性分析。</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Merge w:val="restart"/>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环境管理和监测评价</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分析园区环境管理机构和管理制度的建立及执行情况。</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Merge w:val="continue"/>
            <w:vAlign w:val="center"/>
          </w:tcPr>
          <w:p>
            <w:pPr>
              <w:pStyle w:val="36"/>
              <w:rPr>
                <w:color w:val="000000" w:themeColor="text1"/>
                <w14:textFill>
                  <w14:solidFill>
                    <w14:schemeClr w14:val="tx1"/>
                  </w14:solidFill>
                </w14:textFill>
              </w:rPr>
            </w:pP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分析本次规划环评提出的环境监测计划的落实情况。</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规划调整、修编情况</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分析规划调整、修编情况。</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485"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公众参与</w:t>
            </w:r>
          </w:p>
        </w:tc>
        <w:tc>
          <w:tcPr>
            <w:tcW w:w="5289" w:type="dxa"/>
            <w:vAlign w:val="center"/>
          </w:tcPr>
          <w:p>
            <w:pPr>
              <w:pStyle w:val="36"/>
              <w:rPr>
                <w:color w:val="000000" w:themeColor="text1"/>
                <w14:textFill>
                  <w14:solidFill>
                    <w14:schemeClr w14:val="tx1"/>
                  </w14:solidFill>
                </w14:textFill>
              </w:rPr>
            </w:pPr>
            <w:r>
              <w:rPr>
                <w:color w:val="000000" w:themeColor="text1"/>
                <w14:textFill>
                  <w14:solidFill>
                    <w14:schemeClr w14:val="tx1"/>
                  </w14:solidFill>
                </w14:textFill>
              </w:rPr>
              <w:t>公众对规划实施所产生影响的意见</w:t>
            </w:r>
          </w:p>
        </w:tc>
        <w:tc>
          <w:tcPr>
            <w:tcW w:w="682" w:type="dxa"/>
            <w:vMerge w:val="continue"/>
            <w:vAlign w:val="center"/>
          </w:tcPr>
          <w:p>
            <w:pPr>
              <w:pStyle w:val="36"/>
              <w:rPr>
                <w:color w:val="000000" w:themeColor="text1"/>
                <w14:textFill>
                  <w14:solidFill>
                    <w14:schemeClr w14:val="tx1"/>
                  </w14:solidFill>
                </w14:textFill>
              </w:rPr>
            </w:pPr>
          </w:p>
        </w:tc>
        <w:tc>
          <w:tcPr>
            <w:tcW w:w="1073" w:type="dxa"/>
            <w:vMerge w:val="continue"/>
            <w:vAlign w:val="center"/>
          </w:tcPr>
          <w:p>
            <w:pPr>
              <w:pStyle w:val="36"/>
              <w:rPr>
                <w:color w:val="000000" w:themeColor="text1"/>
                <w14:textFill>
                  <w14:solidFill>
                    <w14:schemeClr w14:val="tx1"/>
                  </w14:solidFill>
                </w14:textFill>
              </w:rPr>
            </w:pPr>
          </w:p>
        </w:tc>
      </w:tr>
    </w:tbl>
    <w:p>
      <w:pPr>
        <w:pStyle w:val="36"/>
        <w:rPr>
          <w:color w:val="000000" w:themeColor="text1"/>
          <w14:textFill>
            <w14:solidFill>
              <w14:schemeClr w14:val="tx1"/>
            </w14:solidFill>
          </w14:textFill>
        </w:rPr>
      </w:pPr>
    </w:p>
    <w:p>
      <w:pPr>
        <w:pStyle w:val="30"/>
        <w:rPr>
          <w:color w:val="000000" w:themeColor="text1"/>
          <w14:textFill>
            <w14:solidFill>
              <w14:schemeClr w14:val="tx1"/>
            </w14:solidFill>
          </w14:textFill>
        </w:rPr>
      </w:pPr>
      <w:bookmarkStart w:id="46" w:name="_Toc236641286"/>
      <w:r>
        <w:rPr>
          <w:color w:val="000000" w:themeColor="text1"/>
          <w14:textFill>
            <w14:solidFill>
              <w14:schemeClr w14:val="tx1"/>
            </w14:solidFill>
          </w14:textFill>
        </w:rPr>
        <w:t>规划所含建设项目环境影响评价要求</w:t>
      </w:r>
      <w:bookmarkEnd w:id="46"/>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（1）规划环评结论及审查意见的符合性。重点评价建设项目与本次规划环评提出的空间、总量、环境准入等管控条件的符合性，规划环评审查意见的符合性。</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（2）工程分析。重点开展工程分析，评价建设项目特征污染物排放对环境</w:t>
      </w:r>
      <w:r>
        <w:rPr>
          <w:rFonts w:hint="eastAsia"/>
          <w:color w:val="000000" w:themeColor="text1"/>
          <w14:textFill>
            <w14:solidFill>
              <w14:schemeClr w14:val="tx1"/>
            </w14:solidFill>
          </w14:textFill>
        </w:rPr>
        <w:t>，尤其是</w:t>
      </w:r>
      <w:r>
        <w:rPr>
          <w:color w:val="000000" w:themeColor="text1"/>
          <w14:textFill>
            <w14:solidFill>
              <w14:schemeClr w14:val="tx1"/>
            </w14:solidFill>
          </w14:textFill>
        </w:rPr>
        <w:t>环境空气、水环境的影响。不同的行业其特征污染物不同，应针对特征污染物进行重点评价。</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（3）环境保护措施的经济技术可行性分析。</w:t>
      </w:r>
      <w:r>
        <w:rPr>
          <w:rFonts w:hint="eastAsia"/>
          <w:color w:val="000000" w:themeColor="text1"/>
          <w14:textFill>
            <w14:solidFill>
              <w14:schemeClr w14:val="tx1"/>
            </w14:solidFill>
          </w14:textFill>
        </w:rPr>
        <w:t>环保措施属于末端治理的范畴，同时也是开发区污染控制的最后一道关口，入区项目编制环境影响评价文件时应针对各项目的行业类别、产污特点，充分论证其环保措施的技术经济可行性和可靠性，确保项目各项污染物能够实现达标排放；入区项目废水污染物出厂区时除满足相关行业排放标准外，还需满足集中污染治理设施的收水水质要求，确保地表水环境持续改善。</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（4）总量控制。</w:t>
      </w:r>
      <w:r>
        <w:rPr>
          <w:rFonts w:hint="eastAsia"/>
          <w:color w:val="000000" w:themeColor="text1"/>
          <w14:textFill>
            <w14:solidFill>
              <w14:schemeClr w14:val="tx1"/>
            </w14:solidFill>
          </w14:textFill>
        </w:rPr>
        <w:t>本次规划环评给出了开发区的总量管控指标建议，可以作为下一步建设项目总量控制的参考依据，但由于规划的不确定性、入驻项目产品结构及规模的不确定性，入区项目编制环境影响评价文件时应充分考虑开发区的总量管控要求，对项目污染物排放量给出合理评价，尤其应关注增加重点污染物排放量的项目，需在环评文件中明确污染物排放总量指标及区域替代削减措施。</w:t>
      </w:r>
    </w:p>
    <w:p>
      <w:pPr>
        <w:pStyle w:val="32"/>
        <w:rPr>
          <w:color w:val="000000" w:themeColor="text1"/>
          <w14:textFill>
            <w14:solidFill>
              <w14:schemeClr w14:val="tx1"/>
            </w14:solidFill>
          </w14:textFill>
        </w:rPr>
      </w:pPr>
      <w:r>
        <w:rPr>
          <w:color w:val="000000" w:themeColor="text1"/>
          <w14:textFill>
            <w14:solidFill>
              <w14:schemeClr w14:val="tx1"/>
            </w14:solidFill>
          </w14:textFill>
        </w:rPr>
        <w:t>建设项目环境影响评价简化建议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根据《关于加强规划环境影响评价与建设项目环境影响评价联动工作的意见》（环发〔2015〕178号），对符合规划环评结论及审查意见要求的建设项目，环评文件应按照规划环评的意见进行简化，</w:t>
      </w:r>
      <w:r>
        <w:rPr>
          <w:rFonts w:hint="eastAsia"/>
          <w:color w:val="000000" w:themeColor="text1"/>
          <w14:textFill>
            <w14:solidFill>
              <w14:schemeClr w14:val="tx1"/>
            </w14:solidFill>
          </w14:textFill>
        </w:rPr>
        <w:t>本次规划提出</w:t>
      </w:r>
      <w:r>
        <w:rPr>
          <w:color w:val="000000" w:themeColor="text1"/>
          <w14:textFill>
            <w14:solidFill>
              <w14:schemeClr w14:val="tx1"/>
            </w14:solidFill>
          </w14:textFill>
        </w:rPr>
        <w:t>建议简化内容如下：</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对符合环境管控要求和生态环境准入清单的具体建设项目，应将规划环评结论作为重要依据，可简化项目选址选线、规模分析等相关内容；对于符合园区产业发展方向和布局的项目，还可简化项目规划符合性分析相关内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当规划环评资源、环境质量现状调查的监测数据仍具有时效性时，可直接引用规划环评或规划范围内其他建设项目的监测数据，规划所包含的建设项目环评文件中现状调查与评价内容可适当简化，如需增加特征污染物监测数据的，应按有关要求予以补充。</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）简化入园建设项目依托的污水处理</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基础设施已按产业园区规划环评要求建设并运行的相关评价内容。对依托园区供热、污水处理等公用设施的建设项目，正常工况环境影响可直接引用规划环评结论。</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（4）根据《环境影响评价公众参与办法》的要求，符合产业规划的环境影响报告书两次公众参与信息公示可以合并成一次，时间由10个工作日压缩至5个工作日。</w:t>
      </w:r>
    </w:p>
    <w:p>
      <w:pPr>
        <w:pStyle w:val="28"/>
        <w:rPr>
          <w:color w:val="000000" w:themeColor="text1"/>
          <w14:textFill>
            <w14:solidFill>
              <w14:schemeClr w14:val="tx1"/>
            </w14:solidFill>
          </w14:textFill>
        </w:rPr>
      </w:pPr>
      <w:bookmarkStart w:id="47" w:name="_Toc236641287"/>
      <w:r>
        <w:rPr>
          <w:color w:val="000000" w:themeColor="text1"/>
          <w14:textFill>
            <w14:solidFill>
              <w14:schemeClr w14:val="tx1"/>
            </w14:solidFill>
          </w14:textFill>
        </w:rPr>
        <w:t>环境管理与环境准入</w:t>
      </w:r>
      <w:bookmarkEnd w:id="47"/>
    </w:p>
    <w:p>
      <w:pPr>
        <w:pStyle w:val="30"/>
        <w:rPr>
          <w:color w:val="000000" w:themeColor="text1"/>
          <w14:textFill>
            <w14:solidFill>
              <w14:schemeClr w14:val="tx1"/>
            </w14:solidFill>
          </w14:textFill>
        </w:rPr>
      </w:pPr>
      <w:bookmarkStart w:id="48" w:name="_Toc236641288"/>
      <w:r>
        <w:rPr>
          <w:color w:val="000000" w:themeColor="text1"/>
          <w14:textFill>
            <w14:solidFill>
              <w14:schemeClr w14:val="tx1"/>
            </w14:solidFill>
          </w14:textFill>
        </w:rPr>
        <w:t>环境管理</w:t>
      </w:r>
      <w:bookmarkEnd w:id="48"/>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落实园区生态环境分区管控</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园区开发规划应符合生态环境保护规划，结合区域生态环境分区管控要求及环境功能区划要求，合理优化布局。</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根据本报告或后续文件划定的园区环境管控单元，构建有利于环境保护的国土空间开发格局。将空间管制、总量管控和环境准入作为规划环评成果的重要内容，并融入园区规划编制、决策和实施全过程。</w:t>
      </w:r>
    </w:p>
    <w:p>
      <w:pPr>
        <w:pStyle w:val="32"/>
        <w:rPr>
          <w:color w:val="000000" w:themeColor="text1"/>
          <w14:textFill>
            <w14:solidFill>
              <w14:schemeClr w14:val="tx1"/>
            </w14:solidFill>
          </w14:textFill>
        </w:rPr>
      </w:pPr>
      <w:r>
        <w:rPr>
          <w:color w:val="000000" w:themeColor="text1"/>
          <w14:textFill>
            <w14:solidFill>
              <w14:schemeClr w14:val="tx1"/>
            </w14:solidFill>
          </w14:textFill>
        </w:rPr>
        <w:t>提升环境准入门槛</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w:t>
      </w:r>
      <w:r>
        <w:rPr>
          <w:color w:val="000000" w:themeColor="text1"/>
          <w14:textFill>
            <w14:solidFill>
              <w14:schemeClr w14:val="tx1"/>
            </w14:solidFill>
          </w14:textFill>
        </w:rPr>
        <w:t>产业导向：优先引进符合产业政策</w:t>
      </w:r>
      <w:r>
        <w:rPr>
          <w:rFonts w:hint="eastAsia"/>
          <w:color w:val="000000" w:themeColor="text1"/>
          <w14:textFill>
            <w14:solidFill>
              <w14:schemeClr w14:val="tx1"/>
            </w14:solidFill>
          </w14:textFill>
        </w:rPr>
        <w:t>，符合园区产业定位</w:t>
      </w:r>
      <w:r>
        <w:rPr>
          <w:color w:val="000000" w:themeColor="text1"/>
          <w14:textFill>
            <w14:solidFill>
              <w14:schemeClr w14:val="tx1"/>
            </w14:solidFill>
          </w14:textFill>
        </w:rPr>
        <w:t>的项目</w:t>
      </w:r>
      <w:r>
        <w:rPr>
          <w:rFonts w:hint="eastAsia"/>
          <w:color w:val="000000" w:themeColor="text1"/>
          <w14:textFill>
            <w14:solidFill>
              <w14:schemeClr w14:val="tx1"/>
            </w14:solidFill>
          </w14:textFill>
        </w:rPr>
        <w:t>。园区管理机构应基于“三线一单”管控要求，结合国家和地方产业政策，严格环境准入。</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环保要求：引进项目在污染物排放、环保治理措施方面必须达到国家</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地方环保要求。</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风险控制：</w:t>
      </w:r>
      <w:r>
        <w:rPr>
          <w:rFonts w:hint="eastAsia"/>
          <w:color w:val="000000" w:themeColor="text1"/>
          <w14:textFill>
            <w14:solidFill>
              <w14:schemeClr w14:val="tx1"/>
            </w14:solidFill>
          </w14:textFill>
        </w:rPr>
        <w:t>存在环境风险的企业应编制突发环境事件风险应急预案</w:t>
      </w:r>
      <w:r>
        <w:rPr>
          <w:color w:val="000000" w:themeColor="text1"/>
          <w14:textFill>
            <w14:solidFill>
              <w14:schemeClr w14:val="tx1"/>
            </w14:solidFill>
          </w14:textFill>
        </w:rPr>
        <w:t>并与园区应急预案联动。</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清洁生产：引入项目清洁生产水平</w:t>
      </w:r>
      <w:r>
        <w:rPr>
          <w:rFonts w:hint="eastAsia"/>
          <w:color w:val="000000" w:themeColor="text1"/>
          <w14:textFill>
            <w14:solidFill>
              <w14:schemeClr w14:val="tx1"/>
            </w14:solidFill>
          </w14:textFill>
        </w:rPr>
        <w:t>需</w:t>
      </w:r>
      <w:r>
        <w:rPr>
          <w:color w:val="000000" w:themeColor="text1"/>
          <w14:textFill>
            <w14:solidFill>
              <w14:schemeClr w14:val="tx1"/>
            </w14:solidFill>
          </w14:textFill>
        </w:rPr>
        <w:t>达到国内先进水平。</w:t>
      </w:r>
    </w:p>
    <w:p>
      <w:pPr>
        <w:pStyle w:val="51"/>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循环经济：优先引进</w:t>
      </w:r>
      <w:r>
        <w:rPr>
          <w:rFonts w:hint="eastAsia"/>
          <w:color w:val="000000" w:themeColor="text1"/>
          <w14:textFill>
            <w14:solidFill>
              <w14:schemeClr w14:val="tx1"/>
            </w14:solidFill>
          </w14:textFill>
        </w:rPr>
        <w:t>能形成产业链上下游的企业，</w:t>
      </w:r>
      <w:r>
        <w:rPr>
          <w:color w:val="000000" w:themeColor="text1"/>
          <w14:textFill>
            <w14:solidFill>
              <w14:schemeClr w14:val="tx1"/>
            </w14:solidFill>
          </w14:textFill>
        </w:rPr>
        <w:t>促进园区循环经济产业链的形成和延伸。</w:t>
      </w:r>
    </w:p>
    <w:p>
      <w:pPr>
        <w:pStyle w:val="32"/>
        <w:rPr>
          <w:color w:val="000000" w:themeColor="text1"/>
          <w14:textFill>
            <w14:solidFill>
              <w14:schemeClr w14:val="tx1"/>
            </w14:solidFill>
          </w14:textFill>
        </w:rPr>
      </w:pPr>
      <w:r>
        <w:rPr>
          <w:color w:val="000000" w:themeColor="text1"/>
          <w14:textFill>
            <w14:solidFill>
              <w14:schemeClr w14:val="tx1"/>
            </w14:solidFill>
          </w14:textFill>
        </w:rPr>
        <w:t>强化企业环保信息管理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持续</w:t>
      </w:r>
      <w:r>
        <w:rPr>
          <w:color w:val="000000" w:themeColor="text1"/>
          <w14:textFill>
            <w14:solidFill>
              <w14:schemeClr w14:val="tx1"/>
            </w14:solidFill>
          </w14:textFill>
        </w:rPr>
        <w:t>开展环境信息化建设工作</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结合污染源普查数据、企业排污申报数据、例行监测数据、竣工验收监测数据，采用地理信息系统等现代化手段，建立开发区企业环境管理数据库，并及时更新、定期统计，以更好地为产业结构优化、污染物总量控制、环境风险管理等服务。</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（2）加强环境监管和风险控制</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加强对污染排放较多、潜在环境风险大的企业的环境监管力度，实施污染物在线监测以确保污染物达标排放。要求企业实施清洁生产审核，制定节能减排计划。实行风险排查，对环境风险企业要求制定和完善风险控制措施和应急预案。</w:t>
      </w:r>
      <w:r>
        <w:rPr>
          <w:rFonts w:hint="eastAsia"/>
          <w:color w:val="000000" w:themeColor="text1"/>
          <w14:textFill>
            <w14:solidFill>
              <w14:schemeClr w14:val="tx1"/>
            </w14:solidFill>
          </w14:textFill>
        </w:rPr>
        <w:t>开发区</w:t>
      </w:r>
      <w:r>
        <w:rPr>
          <w:color w:val="000000" w:themeColor="text1"/>
          <w14:textFill>
            <w14:solidFill>
              <w14:schemeClr w14:val="tx1"/>
            </w14:solidFill>
          </w14:textFill>
        </w:rPr>
        <w:t>应制定和完善安装在线监测、实施清洁生产审核和风险排查企业的名单和计划，通过计划实施掌握企业实际环保数据和风险状况。</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完善</w:t>
      </w:r>
      <w:r>
        <w:rPr>
          <w:color w:val="000000" w:themeColor="text1"/>
          <w14:textFill>
            <w14:solidFill>
              <w14:schemeClr w14:val="tx1"/>
            </w14:solidFill>
          </w14:textFill>
        </w:rPr>
        <w:t>环境质量监控体系</w:t>
      </w:r>
    </w:p>
    <w:p>
      <w:pPr>
        <w:pStyle w:val="51"/>
        <w:ind w:firstLine="480"/>
        <w:rPr>
          <w:color w:val="000000" w:themeColor="text1"/>
          <w14:textFill>
            <w14:solidFill>
              <w14:schemeClr w14:val="tx1"/>
            </w14:solidFill>
          </w14:textFill>
        </w:rPr>
      </w:pPr>
      <w:r>
        <w:rPr>
          <w:rFonts w:hint="eastAsia"/>
          <w:bCs/>
          <w:snapToGrid/>
          <w:color w:val="000000" w:themeColor="text1"/>
          <w:kern w:val="2"/>
          <w:szCs w:val="24"/>
          <w14:textFill>
            <w14:solidFill>
              <w14:schemeClr w14:val="tx1"/>
            </w14:solidFill>
          </w14:textFill>
        </w:rPr>
        <w:t>目前园区已经建立了比较完善的</w:t>
      </w:r>
      <w:r>
        <w:rPr>
          <w:bCs/>
          <w:snapToGrid/>
          <w:color w:val="000000" w:themeColor="text1"/>
          <w:kern w:val="2"/>
          <w:szCs w:val="24"/>
          <w14:textFill>
            <w14:solidFill>
              <w14:schemeClr w14:val="tx1"/>
            </w14:solidFill>
          </w14:textFill>
        </w:rPr>
        <w:t>环境空气质量监控体系</w:t>
      </w:r>
      <w:r>
        <w:rPr>
          <w:rFonts w:hint="eastAsia"/>
          <w:bCs/>
          <w:snapToGrid/>
          <w:color w:val="000000" w:themeColor="text1"/>
          <w:kern w:val="2"/>
          <w:szCs w:val="24"/>
          <w14:textFill>
            <w14:solidFill>
              <w14:schemeClr w14:val="tx1"/>
            </w14:solidFill>
          </w14:textFill>
        </w:rPr>
        <w:t>，后期</w:t>
      </w:r>
      <w:r>
        <w:rPr>
          <w:bCs/>
          <w:snapToGrid/>
          <w:color w:val="000000" w:themeColor="text1"/>
          <w:kern w:val="2"/>
          <w:szCs w:val="24"/>
          <w14:textFill>
            <w14:solidFill>
              <w14:schemeClr w14:val="tx1"/>
            </w14:solidFill>
          </w14:textFill>
        </w:rPr>
        <w:t>建议</w:t>
      </w:r>
      <w:r>
        <w:rPr>
          <w:rFonts w:hint="eastAsia"/>
          <w:bCs/>
          <w:snapToGrid/>
          <w:color w:val="000000" w:themeColor="text1"/>
          <w:kern w:val="2"/>
          <w:szCs w:val="24"/>
          <w14:textFill>
            <w14:solidFill>
              <w14:schemeClr w14:val="tx1"/>
            </w14:solidFill>
          </w14:textFill>
        </w:rPr>
        <w:t>增加小微站监测的数量，并</w:t>
      </w:r>
      <w:r>
        <w:rPr>
          <w:rFonts w:hint="eastAsia"/>
          <w:color w:val="000000" w:themeColor="text1"/>
          <w14:textFill>
            <w14:solidFill>
              <w14:schemeClr w14:val="tx1"/>
            </w14:solidFill>
          </w14:textFill>
        </w:rPr>
        <w:t>逐步建立园区纳污水体水质、大气、地下水、地表水、土壤环境质量等数据的长期监控机制，搭建园区环保数字化在线监控平台，跟踪园区对周边环境质量的影响。</w:t>
      </w:r>
    </w:p>
    <w:p>
      <w:pPr>
        <w:pStyle w:val="32"/>
        <w:rPr>
          <w:color w:val="000000" w:themeColor="text1"/>
          <w14:textFill>
            <w14:solidFill>
              <w14:schemeClr w14:val="tx1"/>
            </w14:solidFill>
          </w14:textFill>
        </w:rPr>
      </w:pPr>
      <w:r>
        <w:rPr>
          <w:color w:val="000000" w:themeColor="text1"/>
          <w14:textFill>
            <w14:solidFill>
              <w14:schemeClr w14:val="tx1"/>
            </w14:solidFill>
          </w14:textFill>
        </w:rPr>
        <w:t>环境信息公开</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信息公开与公众参与是在企业、政府、公众之间就环境问题建立友好伙伴关系的重要环境管理手段。区内环境管理部门定时（如年度）编制园区的环境状况自查报告，通过各种媒体和多种形式及时将区内环境信息向社会公布，充分尊重公众的环境知情权，鼓励公众参与、监督园区的环境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在实施信息公开的基础上，</w:t>
      </w:r>
      <w:r>
        <w:rPr>
          <w:rFonts w:hint="eastAsia"/>
          <w:color w:val="000000" w:themeColor="text1"/>
          <w14:textFill>
            <w14:solidFill>
              <w14:schemeClr w14:val="tx1"/>
            </w14:solidFill>
          </w14:textFill>
        </w:rPr>
        <w:t>增强</w:t>
      </w:r>
      <w:r>
        <w:rPr>
          <w:color w:val="000000" w:themeColor="text1"/>
          <w14:textFill>
            <w14:solidFill>
              <w14:schemeClr w14:val="tx1"/>
            </w14:solidFill>
          </w14:textFill>
        </w:rPr>
        <w:t>公众环境意识，收集公众对园区环境、企业环境行为等各方面的反馈意见，在环境管理、政策制定时重视公众的意见和要求，保证园区可持续发展道路。</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企业信息公开按照相关环保信息公开制度执行。</w:t>
      </w:r>
    </w:p>
    <w:p>
      <w:pPr>
        <w:pStyle w:val="32"/>
        <w:rPr>
          <w:color w:val="000000" w:themeColor="text1"/>
          <w14:textFill>
            <w14:solidFill>
              <w14:schemeClr w14:val="tx1"/>
            </w14:solidFill>
          </w14:textFill>
        </w:rPr>
      </w:pPr>
      <w:r>
        <w:rPr>
          <w:color w:val="000000" w:themeColor="text1"/>
          <w14:textFill>
            <w14:solidFill>
              <w14:schemeClr w14:val="tx1"/>
            </w14:solidFill>
          </w14:textFill>
        </w:rPr>
        <w:t>完善环保管理制度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（一）制定园区环保管理的规章制度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园区管委会应根据国家和湖南省、</w:t>
      </w:r>
      <w:r>
        <w:rPr>
          <w:rFonts w:hint="eastAsia"/>
          <w:color w:val="000000" w:themeColor="text1"/>
          <w14:textFill>
            <w14:solidFill>
              <w14:schemeClr w14:val="tx1"/>
            </w14:solidFill>
          </w14:textFill>
        </w:rPr>
        <w:t>怀化市</w:t>
      </w:r>
      <w:r>
        <w:rPr>
          <w:color w:val="000000" w:themeColor="text1"/>
          <w14:textFill>
            <w14:solidFill>
              <w14:schemeClr w14:val="tx1"/>
            </w14:solidFill>
          </w14:textFill>
        </w:rPr>
        <w:t>现行的环保法律法规、政策、制度，并结合园区实际情况，制定适合园区经济发展和环境管理需要的规章制度，以实现园区的环境保护规划目标。</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）建立入区项目审查制度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园区应制定相应的项目审查、审核制度，在引进项目时，严格把好“技术含量高”和“环境友好”关，必须考察项目的产品生产工艺的科技含量和对环境的影响。</w:t>
      </w:r>
      <w:r>
        <w:rPr>
          <w:rFonts w:hint="eastAsia"/>
          <w:color w:val="000000" w:themeColor="text1"/>
          <w14:textFill>
            <w14:solidFill>
              <w14:schemeClr w14:val="tx1"/>
            </w14:solidFill>
          </w14:textFill>
        </w:rPr>
        <w:t>生态环境主管部门在审批项目环评文件前，认真分析项目涉及的规划及其环评情况，并将与规划环评结论及审查意见的相符性作为项目环评文件审批的重要依据，推动项目环评审批及在事中事后监管中落实规划环评成果。对于不符合规划环评结论及审查意见的建设项目环评，依法不予审批；对于要求在建设项目环评文件中深入论证的内容，应强化论证。</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三</w:t>
      </w:r>
      <w:r>
        <w:rPr>
          <w:color w:val="000000" w:themeColor="text1"/>
          <w14:textFill>
            <w14:solidFill>
              <w14:schemeClr w14:val="tx1"/>
            </w14:solidFill>
          </w14:textFill>
        </w:rPr>
        <w:t>）建立环境报告制度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园区内排污企业应实行排污许可证制度，按照有关规定要求填写</w:t>
      </w:r>
      <w:r>
        <w:rPr>
          <w:rFonts w:hint="eastAsia"/>
          <w:color w:val="000000" w:themeColor="text1"/>
          <w14:textFill>
            <w14:solidFill>
              <w14:schemeClr w14:val="tx1"/>
            </w14:solidFill>
          </w14:textFill>
        </w:rPr>
        <w:t>月报、季报、年报</w:t>
      </w:r>
      <w:r>
        <w:rPr>
          <w:color w:val="000000" w:themeColor="text1"/>
          <w14:textFill>
            <w14:solidFill>
              <w14:schemeClr w14:val="tx1"/>
            </w14:solidFill>
          </w14:textFill>
        </w:rPr>
        <w:t>，上报上级环保管理部门。在企业排污发生重大变化、污染治理设施发生改变或者拟实施新、改、扩建项目计划时，及时向上级环保管理部门</w:t>
      </w:r>
      <w:r>
        <w:rPr>
          <w:rFonts w:hint="eastAsia"/>
          <w:color w:val="000000" w:themeColor="text1"/>
          <w14:textFill>
            <w14:solidFill>
              <w14:schemeClr w14:val="tx1"/>
            </w14:solidFill>
          </w14:textFill>
        </w:rPr>
        <w:t>报告</w:t>
      </w:r>
      <w:r>
        <w:rPr>
          <w:color w:val="000000" w:themeColor="text1"/>
          <w14:textFill>
            <w14:solidFill>
              <w14:schemeClr w14:val="tx1"/>
            </w14:solidFill>
          </w14:textFill>
        </w:rPr>
        <w:t>。</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四</w:t>
      </w:r>
      <w:r>
        <w:rPr>
          <w:color w:val="000000" w:themeColor="text1"/>
          <w14:textFill>
            <w14:solidFill>
              <w14:schemeClr w14:val="tx1"/>
            </w14:solidFill>
          </w14:textFill>
        </w:rPr>
        <w:t>）建立污染治理设施管理制度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强化企业污染治理设施的管理，确保污染治理设施的正常</w:t>
      </w:r>
      <w:r>
        <w:rPr>
          <w:rFonts w:hint="eastAsia"/>
          <w:color w:val="000000" w:themeColor="text1"/>
          <w:lang w:eastAsia="zh-CN"/>
          <w14:textFill>
            <w14:solidFill>
              <w14:schemeClr w14:val="tx1"/>
            </w14:solidFill>
          </w14:textFill>
        </w:rPr>
        <w:t>运</w:t>
      </w:r>
      <w:r>
        <w:rPr>
          <w:color w:val="000000" w:themeColor="text1"/>
          <w14:textFill>
            <w14:solidFill>
              <w14:schemeClr w14:val="tx1"/>
            </w14:solidFill>
          </w14:textFill>
        </w:rPr>
        <w:t>行，建立设备运行的操作规程和相应的管理职能。企业不得擅自拆除或闲置已有的污染处理设施。</w:t>
      </w:r>
      <w:bookmarkStart w:id="52" w:name="_GoBack"/>
      <w:bookmarkEnd w:id="52"/>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五</w:t>
      </w:r>
      <w:r>
        <w:rPr>
          <w:color w:val="000000" w:themeColor="text1"/>
          <w14:textFill>
            <w14:solidFill>
              <w14:schemeClr w14:val="tx1"/>
            </w14:solidFill>
          </w14:textFill>
        </w:rPr>
        <w:t>）制定重点排污单位名录</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园区应制定所辖企业的水环境重点排污单位名录、大气环境重点排污单位名录、土壤环境污染重点监管单位名录，以及其他重点排污单位名录，对所辖企业进行日常监管。</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六</w:t>
      </w:r>
      <w:r>
        <w:rPr>
          <w:color w:val="000000" w:themeColor="text1"/>
          <w14:textFill>
            <w14:solidFill>
              <w14:schemeClr w14:val="tx1"/>
            </w14:solidFill>
          </w14:textFill>
        </w:rPr>
        <w:t>）制定环保奖惩制度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制定环保奖惩条例，鼓励清洁生产，发展循环经济，规范企业生产行为。对于重视环境管理、节能降耗、减少污染物排放、污染治理效果好等利于环境改善的企业，给予一定的奖励；对环保观念淡薄、浪费能源与资源违法排污的企业则予以重罚。总结开发区内的环境友好型企业经验，</w:t>
      </w:r>
      <w:r>
        <w:rPr>
          <w:rFonts w:hint="eastAsia"/>
          <w:color w:val="000000" w:themeColor="text1"/>
          <w14:textFill>
            <w14:solidFill>
              <w14:schemeClr w14:val="tx1"/>
            </w14:solidFill>
          </w14:textFill>
        </w:rPr>
        <w:t>给予</w:t>
      </w:r>
      <w:r>
        <w:rPr>
          <w:color w:val="000000" w:themeColor="text1"/>
          <w14:textFill>
            <w14:solidFill>
              <w14:schemeClr w14:val="tx1"/>
            </w14:solidFill>
          </w14:textFill>
        </w:rPr>
        <w:t>奖励，并在园区内积极推广。</w:t>
      </w:r>
    </w:p>
    <w:p>
      <w:pPr>
        <w:pStyle w:val="32"/>
        <w:rPr>
          <w:color w:val="000000" w:themeColor="text1"/>
          <w14:textFill>
            <w14:solidFill>
              <w14:schemeClr w14:val="tx1"/>
            </w14:solidFill>
          </w14:textFill>
        </w:rPr>
      </w:pPr>
      <w:r>
        <w:rPr>
          <w:rFonts w:hint="eastAsia"/>
          <w:color w:val="000000" w:themeColor="text1"/>
          <w14:textFill>
            <w14:solidFill>
              <w14:schemeClr w14:val="tx1"/>
            </w14:solidFill>
          </w14:textFill>
        </w:rPr>
        <w:t>其他环境</w:t>
      </w:r>
      <w:r>
        <w:rPr>
          <w:color w:val="000000" w:themeColor="text1"/>
          <w14:textFill>
            <w14:solidFill>
              <w14:schemeClr w14:val="tx1"/>
            </w14:solidFill>
          </w14:textFill>
        </w:rPr>
        <w:t>管理建议</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（1）推进“环保管家”环境管理制度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根据《国务院办公厅关于推行环境污染第三方治理的意见》（国办发〔2014〕69号）、《环境保护部关于推进环境污染第三方治理的实施意见》（环规财函〔2017〕172号）和《国家发改委办公厅、生态环境部办公厅关于深入推进园区环境污染第三方治理的通知》（发改办环资〔2019〕785号），园区应选择第三方机构</w:t>
      </w:r>
      <w:r>
        <w:rPr>
          <w:rFonts w:hint="eastAsia"/>
          <w:color w:val="000000" w:themeColor="text1"/>
          <w14:textFill>
            <w14:solidFill>
              <w14:schemeClr w14:val="tx1"/>
            </w14:solidFill>
          </w14:textFill>
        </w:rPr>
        <w:t>作为</w:t>
      </w:r>
      <w:r>
        <w:rPr>
          <w:color w:val="000000" w:themeColor="text1"/>
          <w14:textFill>
            <w14:solidFill>
              <w14:schemeClr w14:val="tx1"/>
            </w14:solidFill>
          </w14:textFill>
        </w:rPr>
        <w:t>环保管家，为园区、企业提供全方位的环境政策咨询、隐患排查，开展环境污染第三方治理。</w:t>
      </w:r>
    </w:p>
    <w:p>
      <w:pPr>
        <w:pStyle w:val="51"/>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园区目前已聘请了第三方机构作为园区环保管家，依据合同内容及《湖南省园区环境污染第三方治理环保服务规范（试行）》等文件要求，开展了开发区环境污染第三方治理相关工作。</w:t>
      </w:r>
    </w:p>
    <w:p>
      <w:pPr>
        <w:pStyle w:val="51"/>
        <w:ind w:firstLine="480"/>
        <w:rPr>
          <w:color w:val="000000" w:themeColor="text1"/>
          <w:spacing w:val="-20"/>
          <w:szCs w:val="20"/>
          <w14:textFill>
            <w14:solidFill>
              <w14:schemeClr w14:val="tx1"/>
            </w14:solidFill>
          </w14:textFill>
        </w:rPr>
      </w:pPr>
      <w:r>
        <w:rPr>
          <w:color w:val="000000" w:themeColor="text1"/>
          <w14:textFill>
            <w14:solidFill>
              <w14:schemeClr w14:val="tx1"/>
            </w14:solidFill>
          </w14:textFill>
        </w:rPr>
        <w:t>（2）</w:t>
      </w:r>
      <w:r>
        <w:rPr>
          <w:color w:val="000000" w:themeColor="text1"/>
          <w:szCs w:val="20"/>
          <w14:textFill>
            <w14:solidFill>
              <w14:schemeClr w14:val="tx1"/>
            </w14:solidFill>
          </w14:textFill>
        </w:rPr>
        <w:t>建立常态化入企服务机制</w:t>
      </w:r>
    </w:p>
    <w:p>
      <w:pPr>
        <w:pStyle w:val="51"/>
        <w:ind w:firstLine="480"/>
        <w:rPr>
          <w:color w:val="000000" w:themeColor="text1"/>
          <w:szCs w:val="20"/>
          <w14:textFill>
            <w14:solidFill>
              <w14:schemeClr w14:val="tx1"/>
            </w14:solidFill>
          </w14:textFill>
        </w:rPr>
      </w:pPr>
      <w:r>
        <w:rPr>
          <w:color w:val="000000" w:themeColor="text1"/>
          <w:szCs w:val="20"/>
          <w14:textFill>
            <w14:solidFill>
              <w14:schemeClr w14:val="tx1"/>
            </w14:solidFill>
          </w14:textFill>
        </w:rPr>
        <w:t>提供有关产业政策、环境准入和审批程序等咨询服务，切实帮助企业</w:t>
      </w:r>
      <w:r>
        <w:rPr>
          <w:rFonts w:hint="eastAsia"/>
          <w:color w:val="000000" w:themeColor="text1"/>
          <w:szCs w:val="20"/>
          <w14:textFill>
            <w14:solidFill>
              <w14:schemeClr w14:val="tx1"/>
            </w14:solidFill>
          </w14:textFill>
        </w:rPr>
        <w:t>纾难解困</w:t>
      </w:r>
      <w:r>
        <w:rPr>
          <w:color w:val="000000" w:themeColor="text1"/>
          <w:szCs w:val="20"/>
          <w14:textFill>
            <w14:solidFill>
              <w14:schemeClr w14:val="tx1"/>
            </w14:solidFill>
          </w14:textFill>
        </w:rPr>
        <w:t>。</w:t>
      </w:r>
      <w:r>
        <w:rPr>
          <w:rFonts w:hint="eastAsia"/>
          <w:color w:val="000000" w:themeColor="text1"/>
          <w:szCs w:val="20"/>
          <w14:textFill>
            <w14:solidFill>
              <w14:schemeClr w14:val="tx1"/>
            </w14:solidFill>
          </w14:textFill>
        </w:rPr>
        <w:t>有条件时</w:t>
      </w:r>
      <w:r>
        <w:rPr>
          <w:color w:val="000000" w:themeColor="text1"/>
          <w:szCs w:val="20"/>
          <w14:textFill>
            <w14:solidFill>
              <w14:schemeClr w14:val="tx1"/>
            </w14:solidFill>
          </w14:textFill>
        </w:rPr>
        <w:t>组织技术专家团队进行集中会诊，助力提升精准治污水平。</w:t>
      </w:r>
    </w:p>
    <w:p>
      <w:pPr>
        <w:pStyle w:val="51"/>
        <w:ind w:firstLine="480"/>
        <w:rPr>
          <w:color w:val="000000" w:themeColor="text1"/>
          <w:szCs w:val="20"/>
          <w14:textFill>
            <w14:solidFill>
              <w14:schemeClr w14:val="tx1"/>
            </w14:solidFill>
          </w14:textFill>
        </w:rPr>
      </w:pPr>
      <w:r>
        <w:rPr>
          <w:color w:val="000000" w:themeColor="text1"/>
          <w:szCs w:val="20"/>
          <w14:textFill>
            <w14:solidFill>
              <w14:schemeClr w14:val="tx1"/>
            </w14:solidFill>
          </w14:textFill>
        </w:rPr>
        <w:t>（3）实施分类差别化监管</w:t>
      </w:r>
    </w:p>
    <w:p>
      <w:pPr>
        <w:pStyle w:val="51"/>
        <w:ind w:firstLine="480"/>
        <w:rPr>
          <w:color w:val="000000" w:themeColor="text1"/>
          <w:szCs w:val="20"/>
          <w14:textFill>
            <w14:solidFill>
              <w14:schemeClr w14:val="tx1"/>
            </w14:solidFill>
          </w14:textFill>
        </w:rPr>
      </w:pPr>
      <w:r>
        <w:rPr>
          <w:color w:val="000000" w:themeColor="text1"/>
          <w:szCs w:val="20"/>
          <w14:textFill>
            <w14:solidFill>
              <w14:schemeClr w14:val="tx1"/>
            </w14:solidFill>
          </w14:textFill>
        </w:rPr>
        <w:t>完善企业环境信用等级评价制度，根据《湖南省企事业单位环保信用评价管理办法》的要求，对环境信用良好企业减少检查频次；对生产技术先进、污染治理水平高、环保管控严格的企业，在重污染天气应急响应期间免予执行环境应急管控、错峰生产减排；对使用低（无）VOCs含量原辅材料和建设高效处理设施的企业，不执行VOCs强化减排措施。</w:t>
      </w:r>
    </w:p>
    <w:p>
      <w:pPr>
        <w:pStyle w:val="51"/>
        <w:ind w:firstLine="480"/>
        <w:rPr>
          <w:color w:val="000000" w:themeColor="text1"/>
          <w:szCs w:val="20"/>
          <w14:textFill>
            <w14:solidFill>
              <w14:schemeClr w14:val="tx1"/>
            </w14:solidFill>
          </w14:textFill>
        </w:rPr>
      </w:pPr>
      <w:r>
        <w:rPr>
          <w:color w:val="000000" w:themeColor="text1"/>
          <w:szCs w:val="20"/>
          <w14:textFill>
            <w14:solidFill>
              <w14:schemeClr w14:val="tx1"/>
            </w14:solidFill>
          </w14:textFill>
        </w:rPr>
        <w:t>（4）强化“双随机、一公开”的环境监管</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将“双随机、一公开”监管作为推进环境执法规范化的重要抓手，建立按月调度、定期通报的工作制度，对抽查主体、内容、对象、比例等事项予以细化，将“双随机”理念贯穿环境执法各事项、各环节。分析企业环境污染程度、违法情节、环境风险不同等级，将监管对象细分为一般排污单位、重点排污单位和特殊监管对象，并及时公开抽查检测结果。</w:t>
      </w:r>
    </w:p>
    <w:p>
      <w:pPr>
        <w:pStyle w:val="30"/>
        <w:rPr>
          <w:color w:val="000000" w:themeColor="text1"/>
          <w14:textFill>
            <w14:solidFill>
              <w14:schemeClr w14:val="tx1"/>
            </w14:solidFill>
          </w14:textFill>
        </w:rPr>
      </w:pPr>
      <w:bookmarkStart w:id="49" w:name="_Toc236641289"/>
      <w:r>
        <w:rPr>
          <w:color w:val="000000" w:themeColor="text1"/>
          <w14:textFill>
            <w14:solidFill>
              <w14:schemeClr w14:val="tx1"/>
            </w14:solidFill>
          </w14:textFill>
        </w:rPr>
        <w:t>排污口规范化管理</w:t>
      </w:r>
      <w:bookmarkEnd w:id="49"/>
    </w:p>
    <w:p>
      <w:pPr>
        <w:pStyle w:val="32"/>
        <w:rPr>
          <w:color w:val="000000" w:themeColor="text1"/>
          <w14:textFill>
            <w14:solidFill>
              <w14:schemeClr w14:val="tx1"/>
            </w14:solidFill>
          </w14:textFill>
        </w:rPr>
      </w:pPr>
      <w:r>
        <w:rPr>
          <w:color w:val="000000" w:themeColor="text1"/>
          <w14:textFill>
            <w14:solidFill>
              <w14:schemeClr w14:val="tx1"/>
            </w14:solidFill>
          </w14:textFill>
        </w:rPr>
        <w:t>排污口规范化设置及管理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排污口是企业污染物进入环境、污染环境的通道，强化排污口的管理是实施污染物总量控制的基础工作，也是区域环境管理逐步实现污染物排放科学化、定量化的重要手段，具体管理原则如下：</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（1）园区污水经预处理后全部由污水管网收集进入园区污水处理厂统一处理达标外排；</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（2）对园区内所有的废气排放口进行核实，明确排放口的数量、位置及主要污染物种类、名称、排放浓度；</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（3）各企业的固体废物临时堆放场地均应按有关要求做好防渗、防漏、防扬尘散发等措施；</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（4）排污口设置应便于采样和计量监测，便于日常监督管理，应有观测、取样、维修通道；</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（5）列入总量控制的污染物排放口以及特征污染物排放口应列为排污口管理的重点；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（6）如实向环保管理部门申报排污口数量、位置及所排放的主要污染物种类、浓度、排放去向等情况。</w:t>
      </w:r>
    </w:p>
    <w:p>
      <w:pPr>
        <w:pStyle w:val="32"/>
        <w:rPr>
          <w:color w:val="000000" w:themeColor="text1"/>
          <w14:textFill>
            <w14:solidFill>
              <w14:schemeClr w14:val="tx1"/>
            </w14:solidFill>
          </w14:textFill>
        </w:rPr>
      </w:pPr>
      <w:r>
        <w:rPr>
          <w:color w:val="000000" w:themeColor="text1"/>
          <w14:textFill>
            <w14:solidFill>
              <w14:schemeClr w14:val="tx1"/>
            </w14:solidFill>
          </w14:textFill>
        </w:rPr>
        <w:t>排污口立标管理</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根据国家《环境保护图形标志》（GB15562.1~2-95）的规定，企业应针对废气排放口、污水排放口及噪声排放源设置环境保护图形标志牌，并应注意以下几点：</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（1）排污口的环保图形标志牌应设置在靠近采样点的醒目处，标志牌设置高度为其上边缘距离地面约2m；</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（2）排污口和固体废物贮存处置场以设置方式标志牌为主，亦可根据情况设置立面或平面固定式标志牌；</w:t>
      </w:r>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（3）废水排放口和固体废物堆场，应设置提示性环境保护图形标志牌。</w:t>
      </w:r>
    </w:p>
    <w:p>
      <w:pPr>
        <w:pStyle w:val="30"/>
        <w:rPr>
          <w:color w:val="000000" w:themeColor="text1"/>
          <w14:textFill>
            <w14:solidFill>
              <w14:schemeClr w14:val="tx1"/>
            </w14:solidFill>
          </w14:textFill>
        </w:rPr>
      </w:pPr>
      <w:bookmarkStart w:id="50" w:name="_Toc236641290"/>
      <w:r>
        <w:rPr>
          <w:rFonts w:hint="eastAsia"/>
          <w:color w:val="000000" w:themeColor="text1"/>
          <w14:textFill>
            <w14:solidFill>
              <w14:schemeClr w14:val="tx1"/>
            </w14:solidFill>
          </w14:textFill>
        </w:rPr>
        <w:t>生态环境分区管控要求</w:t>
      </w:r>
      <w:bookmarkEnd w:id="50"/>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《关于规划环境影响评价加强空间管制、总量管控和环境准入的指导意见（试行）》（环办环评〔2016〕14号）指出：“规划环评应充分发挥优化空间开</w:t>
      </w:r>
      <w:r>
        <w:rPr>
          <w:rFonts w:hint="eastAsia"/>
          <w:color w:val="000000" w:themeColor="text1"/>
          <w14:textFill>
            <w14:solidFill>
              <w14:schemeClr w14:val="tx1"/>
            </w14:solidFill>
          </w14:textFill>
        </w:rPr>
        <w:t>发布</w:t>
      </w:r>
      <w:r>
        <w:rPr>
          <w:color w:val="000000" w:themeColor="text1"/>
          <w14:textFill>
            <w14:solidFill>
              <w14:schemeClr w14:val="tx1"/>
            </w14:solidFill>
          </w14:textFill>
        </w:rPr>
        <w:t>局、推进区域（流域）环境质量改善以及推动产业转型升级的作用，并在执行相关技术导则和技术规范的基础上，将空间管制、总量管控和环境准入作为评价成果的重要内容。”《关于以改善环境质量为核心加强环境影响评价管理的通知》（环环评〔2016〕150号）指出：“落实生态保护红线、环境质量底线、资源利用上线和环境准入负面清单约束”。</w:t>
      </w:r>
    </w:p>
    <w:p>
      <w:pPr>
        <w:pStyle w:val="28"/>
        <w:rPr>
          <w:color w:val="000000" w:themeColor="text1"/>
          <w14:textFill>
            <w14:solidFill>
              <w14:schemeClr w14:val="tx1"/>
            </w14:solidFill>
          </w14:textFill>
        </w:rPr>
      </w:pPr>
      <w:bookmarkStart w:id="51" w:name="_Toc236641291"/>
      <w:r>
        <w:rPr>
          <w:color w:val="000000" w:themeColor="text1"/>
          <w14:textFill>
            <w14:solidFill>
              <w14:schemeClr w14:val="tx1"/>
            </w14:solidFill>
          </w14:textFill>
        </w:rPr>
        <w:t>评价结论</w:t>
      </w:r>
      <w:bookmarkEnd w:id="51"/>
    </w:p>
    <w:p>
      <w:pPr>
        <w:pStyle w:val="51"/>
        <w:ind w:firstLine="480"/>
        <w:rPr>
          <w:color w:val="000000" w:themeColor="text1"/>
          <w14:textFill>
            <w14:solidFill>
              <w14:schemeClr w14:val="tx1"/>
            </w14:solidFill>
          </w14:textFill>
        </w:rPr>
      </w:pPr>
      <w:r>
        <w:rPr>
          <w:color w:val="000000" w:themeColor="text1"/>
          <w14:textFill>
            <w14:solidFill>
              <w14:schemeClr w14:val="tx1"/>
            </w14:solidFill>
          </w14:textFill>
        </w:rPr>
        <w:t>综上所述，本次扩区规划与上层规划基本相协调，其规划范围不在风景名胜区、国家地质公园、森林公园内，不涉及湖南省生态保护红线，其选址基本合理，产业定位基本合理，规划布局较合理。在做好相关规划的衔接情形下并落实报告中的规划调整要求及建议、各项污染防治措施、生态保护措施和管理体系，积极开展区域生态环境建设，做好区域污染治理，严格控制产业准入，区域污染物排放对环境的影响可控制在当地环境功能允许的范围内。该规划在环境保护方面总体合理。</w:t>
      </w:r>
    </w:p>
    <w:p>
      <w:pPr>
        <w:pStyle w:val="51"/>
        <w:ind w:firstLine="480"/>
        <w:rPr>
          <w:color w:val="000000" w:themeColor="text1"/>
          <w14:textFill>
            <w14:solidFill>
              <w14:schemeClr w14:val="tx1"/>
            </w14:solidFill>
          </w14:textFill>
        </w:rPr>
      </w:pPr>
    </w:p>
    <w:p>
      <w:pPr>
        <w:pStyle w:val="51"/>
        <w:ind w:firstLine="480"/>
        <w:rPr>
          <w:color w:val="000000" w:themeColor="text1"/>
          <w14:textFill>
            <w14:solidFill>
              <w14:schemeClr w14:val="tx1"/>
            </w14:solidFill>
          </w14:textFill>
        </w:rPr>
      </w:pPr>
    </w:p>
    <w:sectPr>
      <w:pgSz w:w="11907" w:h="16840"/>
      <w:pgMar w:top="1440" w:right="1797" w:bottom="1440" w:left="1797" w:header="851" w:footer="851" w:gutter="0"/>
      <w:cols w:space="425" w:num="1"/>
      <w:docGrid w:type="linesAndChars"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sz w:val="21"/>
      </w:rPr>
    </w:pPr>
    <w:r>
      <w:rPr>
        <w:sz w:val="21"/>
      </w:rPr>
      <w:fldChar w:fldCharType="begin"/>
    </w:r>
    <w:r>
      <w:rPr>
        <w:sz w:val="21"/>
      </w:rPr>
      <w:instrText xml:space="preserve">PAGE   \* MERGEFORMAT</w:instrText>
    </w:r>
    <w:r>
      <w:rPr>
        <w:sz w:val="21"/>
      </w:rPr>
      <w:fldChar w:fldCharType="separate"/>
    </w:r>
    <w:r>
      <w:rPr>
        <w:sz w:val="21"/>
        <w:lang w:val="zh-CN"/>
      </w:rPr>
      <w:t>105</w:t>
    </w:r>
    <w:r>
      <w:rPr>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spacing w:line="240" w:lineRule="auto"/>
      <w:jc w:val="center"/>
      <w:rPr>
        <w:rFonts w:ascii="楷体" w:hAnsi="楷体" w:eastAsia="楷体"/>
        <w:sz w:val="22"/>
        <w:szCs w:val="20"/>
      </w:rPr>
    </w:pPr>
    <w:r>
      <w:rPr>
        <w:rFonts w:hint="eastAsia" w:ascii="楷体" w:hAnsi="楷体" w:eastAsia="楷体"/>
        <w:sz w:val="20"/>
        <w:szCs w:val="16"/>
      </w:rPr>
      <w:t>沅陵产业开发区扩区规划环境影响报告书征求意见稿</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9EB132"/>
    <w:multiLevelType w:val="singleLevel"/>
    <w:tmpl w:val="CB9EB132"/>
    <w:lvl w:ilvl="0" w:tentative="0">
      <w:start w:val="1"/>
      <w:numFmt w:val="decimal"/>
      <w:suff w:val="nothing"/>
      <w:lvlText w:val="（%1）"/>
      <w:lvlJc w:val="left"/>
    </w:lvl>
  </w:abstractNum>
  <w:abstractNum w:abstractNumId="1">
    <w:nsid w:val="0FBF4EA7"/>
    <w:multiLevelType w:val="multilevel"/>
    <w:tmpl w:val="0FBF4EA7"/>
    <w:lvl w:ilvl="0" w:tentative="0">
      <w:start w:val="1"/>
      <w:numFmt w:val="decimal"/>
      <w:suff w:val="space"/>
      <w:lvlText w:val="（%1）"/>
      <w:lvlJc w:val="left"/>
      <w:pPr>
        <w:ind w:left="0" w:firstLine="48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11150E4F"/>
    <w:multiLevelType w:val="multilevel"/>
    <w:tmpl w:val="11150E4F"/>
    <w:lvl w:ilvl="0" w:tentative="0">
      <w:start w:val="1"/>
      <w:numFmt w:val="decimal"/>
      <w:suff w:val="space"/>
      <w:lvlText w:val="（%1）"/>
      <w:lvlJc w:val="left"/>
      <w:pPr>
        <w:ind w:left="0" w:firstLine="48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1DC956EF"/>
    <w:multiLevelType w:val="multilevel"/>
    <w:tmpl w:val="1DC956EF"/>
    <w:lvl w:ilvl="0" w:tentative="0">
      <w:start w:val="1"/>
      <w:numFmt w:val="decimal"/>
      <w:pStyle w:val="49"/>
      <w:lvlText w:val="图%1 "/>
      <w:lvlJc w:val="left"/>
      <w:pPr>
        <w:ind w:left="900" w:hanging="420"/>
      </w:pPr>
      <w:rPr>
        <w:rFonts w:hint="eastAsia"/>
      </w:rPr>
    </w:lvl>
    <w:lvl w:ilvl="1" w:tentative="0">
      <w:start w:val="2"/>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F0006BA"/>
    <w:multiLevelType w:val="multilevel"/>
    <w:tmpl w:val="1F0006BA"/>
    <w:lvl w:ilvl="0" w:tentative="0">
      <w:start w:val="1"/>
      <w:numFmt w:val="decimal"/>
      <w:lvlText w:val="（%1）"/>
      <w:lvlJc w:val="left"/>
      <w:pPr>
        <w:ind w:left="1259" w:hanging="720"/>
      </w:pPr>
      <w:rPr>
        <w:rFonts w:hint="default" w:cs="Times New Roman"/>
      </w:rPr>
    </w:lvl>
    <w:lvl w:ilvl="1" w:tentative="0">
      <w:start w:val="1"/>
      <w:numFmt w:val="lowerLetter"/>
      <w:lvlText w:val="%2)"/>
      <w:lvlJc w:val="left"/>
      <w:pPr>
        <w:ind w:left="1379" w:hanging="420"/>
      </w:pPr>
      <w:rPr>
        <w:rFonts w:cs="Times New Roman"/>
      </w:rPr>
    </w:lvl>
    <w:lvl w:ilvl="2" w:tentative="0">
      <w:start w:val="1"/>
      <w:numFmt w:val="lowerRoman"/>
      <w:lvlText w:val="%3."/>
      <w:lvlJc w:val="right"/>
      <w:pPr>
        <w:ind w:left="1799" w:hanging="420"/>
      </w:pPr>
      <w:rPr>
        <w:rFonts w:cs="Times New Roman"/>
      </w:rPr>
    </w:lvl>
    <w:lvl w:ilvl="3" w:tentative="0">
      <w:start w:val="1"/>
      <w:numFmt w:val="decimal"/>
      <w:lvlText w:val="%4."/>
      <w:lvlJc w:val="left"/>
      <w:pPr>
        <w:ind w:left="2219" w:hanging="420"/>
      </w:pPr>
      <w:rPr>
        <w:rFonts w:cs="Times New Roman"/>
      </w:rPr>
    </w:lvl>
    <w:lvl w:ilvl="4" w:tentative="0">
      <w:start w:val="1"/>
      <w:numFmt w:val="lowerLetter"/>
      <w:pStyle w:val="70"/>
      <w:lvlText w:val="%5)"/>
      <w:lvlJc w:val="left"/>
      <w:pPr>
        <w:ind w:left="2639" w:hanging="420"/>
      </w:pPr>
      <w:rPr>
        <w:rFonts w:cs="Times New Roman"/>
      </w:rPr>
    </w:lvl>
    <w:lvl w:ilvl="5" w:tentative="0">
      <w:start w:val="1"/>
      <w:numFmt w:val="lowerRoman"/>
      <w:lvlText w:val="%6."/>
      <w:lvlJc w:val="right"/>
      <w:pPr>
        <w:ind w:left="3059" w:hanging="420"/>
      </w:pPr>
      <w:rPr>
        <w:rFonts w:cs="Times New Roman"/>
      </w:rPr>
    </w:lvl>
    <w:lvl w:ilvl="6" w:tentative="0">
      <w:start w:val="1"/>
      <w:numFmt w:val="decimal"/>
      <w:lvlText w:val="%7."/>
      <w:lvlJc w:val="left"/>
      <w:pPr>
        <w:ind w:left="3479" w:hanging="420"/>
      </w:pPr>
      <w:rPr>
        <w:rFonts w:cs="Times New Roman"/>
      </w:rPr>
    </w:lvl>
    <w:lvl w:ilvl="7" w:tentative="0">
      <w:start w:val="1"/>
      <w:numFmt w:val="lowerLetter"/>
      <w:lvlText w:val="%8)"/>
      <w:lvlJc w:val="left"/>
      <w:pPr>
        <w:ind w:left="3899" w:hanging="420"/>
      </w:pPr>
      <w:rPr>
        <w:rFonts w:cs="Times New Roman"/>
      </w:rPr>
    </w:lvl>
    <w:lvl w:ilvl="8" w:tentative="0">
      <w:start w:val="1"/>
      <w:numFmt w:val="lowerRoman"/>
      <w:lvlText w:val="%9."/>
      <w:lvlJc w:val="right"/>
      <w:pPr>
        <w:ind w:left="4319" w:hanging="420"/>
      </w:pPr>
      <w:rPr>
        <w:rFonts w:cs="Times New Roman"/>
      </w:rPr>
    </w:lvl>
  </w:abstractNum>
  <w:abstractNum w:abstractNumId="5">
    <w:nsid w:val="22124CC2"/>
    <w:multiLevelType w:val="multilevel"/>
    <w:tmpl w:val="22124CC2"/>
    <w:lvl w:ilvl="0" w:tentative="0">
      <w:start w:val="1"/>
      <w:numFmt w:val="decimal"/>
      <w:suff w:val="space"/>
      <w:lvlText w:val="（%1）"/>
      <w:lvlJc w:val="left"/>
      <w:pPr>
        <w:ind w:left="0" w:firstLine="48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41B74193"/>
    <w:multiLevelType w:val="multilevel"/>
    <w:tmpl w:val="41B74193"/>
    <w:lvl w:ilvl="0" w:tentative="0">
      <w:start w:val="1"/>
      <w:numFmt w:val="decimal"/>
      <w:suff w:val="space"/>
      <w:lvlText w:val="（%1）"/>
      <w:lvlJc w:val="left"/>
      <w:pPr>
        <w:ind w:left="0" w:firstLine="480"/>
      </w:pPr>
      <w:rPr>
        <w:rFonts w:hint="eastAsia"/>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46B437B5"/>
    <w:multiLevelType w:val="multilevel"/>
    <w:tmpl w:val="46B437B5"/>
    <w:lvl w:ilvl="0" w:tentative="0">
      <w:start w:val="1"/>
      <w:numFmt w:val="decimal"/>
      <w:pStyle w:val="39"/>
      <w:lvlText w:val="表%1 "/>
      <w:lvlJc w:val="left"/>
      <w:pPr>
        <w:ind w:left="42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EEC6BDE"/>
    <w:multiLevelType w:val="multilevel"/>
    <w:tmpl w:val="4EEC6BDE"/>
    <w:lvl w:ilvl="0" w:tentative="0">
      <w:start w:val="1"/>
      <w:numFmt w:val="decimal"/>
      <w:pStyle w:val="43"/>
      <w:suff w:val="space"/>
      <w:lvlText w:val="%1. "/>
      <w:lvlJc w:val="left"/>
      <w:pPr>
        <w:ind w:left="0" w:firstLine="0"/>
      </w:pPr>
      <w:rPr>
        <w:rFonts w:hint="eastAsia"/>
      </w:rPr>
    </w:lvl>
    <w:lvl w:ilvl="1" w:tentative="0">
      <w:start w:val="1"/>
      <w:numFmt w:val="decimal"/>
      <w:pStyle w:val="45"/>
      <w:suff w:val="space"/>
      <w:lvlText w:val="%1.%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9">
    <w:nsid w:val="61997BD7"/>
    <w:multiLevelType w:val="multilevel"/>
    <w:tmpl w:val="61997BD7"/>
    <w:lvl w:ilvl="0" w:tentative="0">
      <w:start w:val="1"/>
      <w:numFmt w:val="decimal"/>
      <w:suff w:val="space"/>
      <w:lvlText w:val="（%1）"/>
      <w:lvlJc w:val="left"/>
      <w:pPr>
        <w:ind w:left="0" w:firstLine="480"/>
      </w:pPr>
      <w:rPr>
        <w:rFonts w:hint="eastAsia"/>
        <w:lang w:val="en-GB"/>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
    <w:nsid w:val="70791EA5"/>
    <w:multiLevelType w:val="multilevel"/>
    <w:tmpl w:val="70791EA5"/>
    <w:lvl w:ilvl="0" w:tentative="0">
      <w:start w:val="1"/>
      <w:numFmt w:val="decimal"/>
      <w:pStyle w:val="28"/>
      <w:suff w:val="space"/>
      <w:lvlText w:val="%1."/>
      <w:lvlJc w:val="left"/>
      <w:pPr>
        <w:ind w:left="0" w:firstLine="0"/>
      </w:pPr>
      <w:rPr>
        <w:rFonts w:hint="eastAsia"/>
      </w:rPr>
    </w:lvl>
    <w:lvl w:ilvl="1" w:tentative="0">
      <w:start w:val="1"/>
      <w:numFmt w:val="decimal"/>
      <w:pStyle w:val="30"/>
      <w:suff w:val="space"/>
      <w:lvlText w:val="%1.%2"/>
      <w:lvlJc w:val="left"/>
      <w:pPr>
        <w:ind w:left="2127" w:firstLine="0"/>
      </w:pPr>
      <w:rPr>
        <w:rFonts w:hint="eastAsia"/>
      </w:rPr>
    </w:lvl>
    <w:lvl w:ilvl="2" w:tentative="0">
      <w:start w:val="1"/>
      <w:numFmt w:val="decimal"/>
      <w:pStyle w:val="32"/>
      <w:suff w:val="space"/>
      <w:lvlText w:val="%1.%2.%3"/>
      <w:lvlJc w:val="left"/>
      <w:pPr>
        <w:ind w:left="0" w:firstLine="0"/>
      </w:pPr>
      <w:rPr>
        <w:rFonts w:hint="eastAsia"/>
      </w:rPr>
    </w:lvl>
    <w:lvl w:ilvl="3" w:tentative="0">
      <w:start w:val="1"/>
      <w:numFmt w:val="decimal"/>
      <w:lvlRestart w:val="2"/>
      <w:pStyle w:val="52"/>
      <w:suff w:val="space"/>
      <w:lvlText w:val="表%1.%2-%4    "/>
      <w:lvlJc w:val="left"/>
      <w:pPr>
        <w:ind w:left="9072" w:firstLine="0"/>
      </w:pPr>
      <w:rPr>
        <w:rFonts w:hint="eastAsia"/>
        <w:b/>
        <w:bCs/>
        <w:color w:val="auto"/>
      </w:rPr>
    </w:lvl>
    <w:lvl w:ilvl="4" w:tentative="0">
      <w:start w:val="1"/>
      <w:numFmt w:val="decimal"/>
      <w:lvlRestart w:val="3"/>
      <w:pStyle w:val="34"/>
      <w:suff w:val="space"/>
      <w:lvlText w:val="%1.%2.%3.%5"/>
      <w:lvlJc w:val="left"/>
      <w:pPr>
        <w:ind w:left="0" w:firstLine="0"/>
      </w:pPr>
      <w:rPr>
        <w:rFonts w:hint="eastAsia"/>
      </w:rPr>
    </w:lvl>
    <w:lvl w:ilvl="5" w:tentative="0">
      <w:start w:val="1"/>
      <w:numFmt w:val="decimal"/>
      <w:lvlRestart w:val="2"/>
      <w:pStyle w:val="54"/>
      <w:suff w:val="space"/>
      <w:lvlText w:val="图%1.%2-%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0"/>
  </w:num>
  <w:num w:numId="2">
    <w:abstractNumId w:val="7"/>
  </w:num>
  <w:num w:numId="3">
    <w:abstractNumId w:val="8"/>
  </w:num>
  <w:num w:numId="4">
    <w:abstractNumId w:val="3"/>
  </w:num>
  <w:num w:numId="5">
    <w:abstractNumId w:val="4"/>
  </w:num>
  <w:num w:numId="6">
    <w:abstractNumId w:val="6"/>
  </w:num>
  <w:num w:numId="7">
    <w:abstractNumId w:val="2"/>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displayBackgroundShape w:val="1"/>
  <w:bordersDoNotSurroundHeader w:val="1"/>
  <w:bordersDoNotSurroundFooter w:val="1"/>
  <w:documentProtection w:enforcement="0"/>
  <w:defaultTabStop w:val="420"/>
  <w:drawingGridHorizontalSpacing w:val="120"/>
  <w:drawingGridVerticalSpacing w:val="181"/>
  <w:displayHorizontalDrawingGridEvery w:val="2"/>
  <w:noPunctuationKerning w:val="1"/>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mYTA1YzBjNDliZGFlN2I3MjZhMDQyYzhkMGFjNGQifQ=="/>
  </w:docVars>
  <w:rsids>
    <w:rsidRoot w:val="00172A27"/>
    <w:rsid w:val="00000065"/>
    <w:rsid w:val="00000113"/>
    <w:rsid w:val="0000177E"/>
    <w:rsid w:val="00001C19"/>
    <w:rsid w:val="00001E64"/>
    <w:rsid w:val="0000205A"/>
    <w:rsid w:val="00002859"/>
    <w:rsid w:val="00002CA6"/>
    <w:rsid w:val="0000355A"/>
    <w:rsid w:val="000037FB"/>
    <w:rsid w:val="00003AB9"/>
    <w:rsid w:val="00003FDC"/>
    <w:rsid w:val="00004128"/>
    <w:rsid w:val="00004503"/>
    <w:rsid w:val="0000464C"/>
    <w:rsid w:val="000046F6"/>
    <w:rsid w:val="00004711"/>
    <w:rsid w:val="00004AA4"/>
    <w:rsid w:val="000050FE"/>
    <w:rsid w:val="000051CC"/>
    <w:rsid w:val="000052A4"/>
    <w:rsid w:val="0000539F"/>
    <w:rsid w:val="00006FA9"/>
    <w:rsid w:val="00007000"/>
    <w:rsid w:val="00007109"/>
    <w:rsid w:val="00007BB5"/>
    <w:rsid w:val="00007C2A"/>
    <w:rsid w:val="0001128E"/>
    <w:rsid w:val="00012800"/>
    <w:rsid w:val="00012824"/>
    <w:rsid w:val="000136B1"/>
    <w:rsid w:val="000138FA"/>
    <w:rsid w:val="00014D71"/>
    <w:rsid w:val="000150AA"/>
    <w:rsid w:val="00015837"/>
    <w:rsid w:val="00015B5D"/>
    <w:rsid w:val="00015EB0"/>
    <w:rsid w:val="0001707F"/>
    <w:rsid w:val="00017144"/>
    <w:rsid w:val="00017254"/>
    <w:rsid w:val="00017417"/>
    <w:rsid w:val="0001746C"/>
    <w:rsid w:val="000178E3"/>
    <w:rsid w:val="000201F6"/>
    <w:rsid w:val="00020D18"/>
    <w:rsid w:val="00021195"/>
    <w:rsid w:val="000212A9"/>
    <w:rsid w:val="0002133D"/>
    <w:rsid w:val="00022483"/>
    <w:rsid w:val="00022485"/>
    <w:rsid w:val="000227CD"/>
    <w:rsid w:val="00022DB8"/>
    <w:rsid w:val="0002335D"/>
    <w:rsid w:val="00024502"/>
    <w:rsid w:val="00024636"/>
    <w:rsid w:val="00025971"/>
    <w:rsid w:val="00026471"/>
    <w:rsid w:val="00026739"/>
    <w:rsid w:val="000275C3"/>
    <w:rsid w:val="000278DC"/>
    <w:rsid w:val="00027D6E"/>
    <w:rsid w:val="00030040"/>
    <w:rsid w:val="0003024D"/>
    <w:rsid w:val="000304EA"/>
    <w:rsid w:val="00030681"/>
    <w:rsid w:val="00030FF5"/>
    <w:rsid w:val="0003122D"/>
    <w:rsid w:val="000314B2"/>
    <w:rsid w:val="000319A9"/>
    <w:rsid w:val="00031B2C"/>
    <w:rsid w:val="00031BE6"/>
    <w:rsid w:val="00032146"/>
    <w:rsid w:val="0003375F"/>
    <w:rsid w:val="00034014"/>
    <w:rsid w:val="000340CB"/>
    <w:rsid w:val="000341F9"/>
    <w:rsid w:val="00034AA0"/>
    <w:rsid w:val="00035280"/>
    <w:rsid w:val="0003590B"/>
    <w:rsid w:val="00035AC8"/>
    <w:rsid w:val="00035B0F"/>
    <w:rsid w:val="00035B8E"/>
    <w:rsid w:val="00035F0E"/>
    <w:rsid w:val="000361C2"/>
    <w:rsid w:val="0003632C"/>
    <w:rsid w:val="0004001C"/>
    <w:rsid w:val="000404CB"/>
    <w:rsid w:val="000407BB"/>
    <w:rsid w:val="0004098C"/>
    <w:rsid w:val="0004107B"/>
    <w:rsid w:val="00041150"/>
    <w:rsid w:val="00041F03"/>
    <w:rsid w:val="00042164"/>
    <w:rsid w:val="00042E7A"/>
    <w:rsid w:val="00042F8D"/>
    <w:rsid w:val="0004348B"/>
    <w:rsid w:val="0004384F"/>
    <w:rsid w:val="000442D8"/>
    <w:rsid w:val="00044647"/>
    <w:rsid w:val="00044DFC"/>
    <w:rsid w:val="00045447"/>
    <w:rsid w:val="00045B01"/>
    <w:rsid w:val="00045D44"/>
    <w:rsid w:val="00045EC9"/>
    <w:rsid w:val="000462B9"/>
    <w:rsid w:val="00046A13"/>
    <w:rsid w:val="00046D86"/>
    <w:rsid w:val="00047960"/>
    <w:rsid w:val="000479E4"/>
    <w:rsid w:val="00050742"/>
    <w:rsid w:val="000507CC"/>
    <w:rsid w:val="0005169D"/>
    <w:rsid w:val="00052B3F"/>
    <w:rsid w:val="00052CE2"/>
    <w:rsid w:val="0005347D"/>
    <w:rsid w:val="000539EF"/>
    <w:rsid w:val="00053B6E"/>
    <w:rsid w:val="00053CC4"/>
    <w:rsid w:val="00054740"/>
    <w:rsid w:val="00054B67"/>
    <w:rsid w:val="00054BFA"/>
    <w:rsid w:val="00055188"/>
    <w:rsid w:val="000552D8"/>
    <w:rsid w:val="00056452"/>
    <w:rsid w:val="0005691E"/>
    <w:rsid w:val="00057082"/>
    <w:rsid w:val="000574E3"/>
    <w:rsid w:val="000578A8"/>
    <w:rsid w:val="000579DE"/>
    <w:rsid w:val="00060775"/>
    <w:rsid w:val="00060AA9"/>
    <w:rsid w:val="00060BE9"/>
    <w:rsid w:val="00061AE7"/>
    <w:rsid w:val="00061BFA"/>
    <w:rsid w:val="00061C3E"/>
    <w:rsid w:val="00062044"/>
    <w:rsid w:val="00063263"/>
    <w:rsid w:val="00063279"/>
    <w:rsid w:val="00063284"/>
    <w:rsid w:val="00063754"/>
    <w:rsid w:val="00063788"/>
    <w:rsid w:val="0006393F"/>
    <w:rsid w:val="00063A75"/>
    <w:rsid w:val="00064D6F"/>
    <w:rsid w:val="000652C7"/>
    <w:rsid w:val="000659BD"/>
    <w:rsid w:val="00065B22"/>
    <w:rsid w:val="00065C33"/>
    <w:rsid w:val="00065DA0"/>
    <w:rsid w:val="0006635D"/>
    <w:rsid w:val="000665C1"/>
    <w:rsid w:val="00066732"/>
    <w:rsid w:val="00066921"/>
    <w:rsid w:val="00066D11"/>
    <w:rsid w:val="00066D33"/>
    <w:rsid w:val="00066E51"/>
    <w:rsid w:val="00067A30"/>
    <w:rsid w:val="00070A5D"/>
    <w:rsid w:val="000716AD"/>
    <w:rsid w:val="00072043"/>
    <w:rsid w:val="00072097"/>
    <w:rsid w:val="00073705"/>
    <w:rsid w:val="00073AE1"/>
    <w:rsid w:val="00073E29"/>
    <w:rsid w:val="00073F7E"/>
    <w:rsid w:val="00073FAE"/>
    <w:rsid w:val="000746F9"/>
    <w:rsid w:val="000748D8"/>
    <w:rsid w:val="00074B56"/>
    <w:rsid w:val="00074D70"/>
    <w:rsid w:val="00074E1E"/>
    <w:rsid w:val="0007585C"/>
    <w:rsid w:val="000758CB"/>
    <w:rsid w:val="00077369"/>
    <w:rsid w:val="0008209E"/>
    <w:rsid w:val="000823B4"/>
    <w:rsid w:val="00082C43"/>
    <w:rsid w:val="00082C95"/>
    <w:rsid w:val="00082E4B"/>
    <w:rsid w:val="00083E99"/>
    <w:rsid w:val="000840DF"/>
    <w:rsid w:val="00084603"/>
    <w:rsid w:val="00084E9C"/>
    <w:rsid w:val="000850B7"/>
    <w:rsid w:val="00085595"/>
    <w:rsid w:val="00085753"/>
    <w:rsid w:val="00085BFC"/>
    <w:rsid w:val="0008667F"/>
    <w:rsid w:val="00086814"/>
    <w:rsid w:val="000869A4"/>
    <w:rsid w:val="00086DEA"/>
    <w:rsid w:val="00086FD3"/>
    <w:rsid w:val="00087D6C"/>
    <w:rsid w:val="00087F4C"/>
    <w:rsid w:val="00090081"/>
    <w:rsid w:val="00090813"/>
    <w:rsid w:val="0009154A"/>
    <w:rsid w:val="000921F4"/>
    <w:rsid w:val="000922A6"/>
    <w:rsid w:val="00093028"/>
    <w:rsid w:val="00093F94"/>
    <w:rsid w:val="0009403F"/>
    <w:rsid w:val="00094208"/>
    <w:rsid w:val="00094781"/>
    <w:rsid w:val="00095277"/>
    <w:rsid w:val="00095AB2"/>
    <w:rsid w:val="00095AF9"/>
    <w:rsid w:val="00095DDD"/>
    <w:rsid w:val="00096156"/>
    <w:rsid w:val="000961CA"/>
    <w:rsid w:val="000962D6"/>
    <w:rsid w:val="000972A0"/>
    <w:rsid w:val="00097481"/>
    <w:rsid w:val="00097AF8"/>
    <w:rsid w:val="00097B97"/>
    <w:rsid w:val="00097F10"/>
    <w:rsid w:val="000A026B"/>
    <w:rsid w:val="000A03D7"/>
    <w:rsid w:val="000A1259"/>
    <w:rsid w:val="000A15C9"/>
    <w:rsid w:val="000A1DA8"/>
    <w:rsid w:val="000A23C9"/>
    <w:rsid w:val="000A2950"/>
    <w:rsid w:val="000A37EC"/>
    <w:rsid w:val="000A3865"/>
    <w:rsid w:val="000A3F06"/>
    <w:rsid w:val="000A49E2"/>
    <w:rsid w:val="000A4D09"/>
    <w:rsid w:val="000A4EA1"/>
    <w:rsid w:val="000A539D"/>
    <w:rsid w:val="000A563C"/>
    <w:rsid w:val="000A5800"/>
    <w:rsid w:val="000A63EC"/>
    <w:rsid w:val="000A6410"/>
    <w:rsid w:val="000A6B2A"/>
    <w:rsid w:val="000A7638"/>
    <w:rsid w:val="000A7779"/>
    <w:rsid w:val="000A7B78"/>
    <w:rsid w:val="000B015E"/>
    <w:rsid w:val="000B0B8D"/>
    <w:rsid w:val="000B1B92"/>
    <w:rsid w:val="000B2607"/>
    <w:rsid w:val="000B2D3F"/>
    <w:rsid w:val="000B2F8B"/>
    <w:rsid w:val="000B308C"/>
    <w:rsid w:val="000B3F36"/>
    <w:rsid w:val="000B4275"/>
    <w:rsid w:val="000B46B6"/>
    <w:rsid w:val="000B4DEC"/>
    <w:rsid w:val="000B590E"/>
    <w:rsid w:val="000B59BB"/>
    <w:rsid w:val="000B649E"/>
    <w:rsid w:val="000B686B"/>
    <w:rsid w:val="000B7340"/>
    <w:rsid w:val="000C0B37"/>
    <w:rsid w:val="000C0C12"/>
    <w:rsid w:val="000C17B1"/>
    <w:rsid w:val="000C1AB4"/>
    <w:rsid w:val="000C1E22"/>
    <w:rsid w:val="000C207C"/>
    <w:rsid w:val="000C2417"/>
    <w:rsid w:val="000C25DA"/>
    <w:rsid w:val="000C365D"/>
    <w:rsid w:val="000C37A7"/>
    <w:rsid w:val="000C4555"/>
    <w:rsid w:val="000C477D"/>
    <w:rsid w:val="000C4B5D"/>
    <w:rsid w:val="000C4CF4"/>
    <w:rsid w:val="000C501A"/>
    <w:rsid w:val="000C5145"/>
    <w:rsid w:val="000C52BA"/>
    <w:rsid w:val="000C53CE"/>
    <w:rsid w:val="000C788A"/>
    <w:rsid w:val="000C7A4A"/>
    <w:rsid w:val="000C7F40"/>
    <w:rsid w:val="000D0119"/>
    <w:rsid w:val="000D05E7"/>
    <w:rsid w:val="000D0649"/>
    <w:rsid w:val="000D06AF"/>
    <w:rsid w:val="000D0A61"/>
    <w:rsid w:val="000D106F"/>
    <w:rsid w:val="000D1140"/>
    <w:rsid w:val="000D12D6"/>
    <w:rsid w:val="000D13FC"/>
    <w:rsid w:val="000D163E"/>
    <w:rsid w:val="000D1B62"/>
    <w:rsid w:val="000D2360"/>
    <w:rsid w:val="000D37E5"/>
    <w:rsid w:val="000D3E79"/>
    <w:rsid w:val="000D3FB3"/>
    <w:rsid w:val="000D43A3"/>
    <w:rsid w:val="000D4C7B"/>
    <w:rsid w:val="000D5C93"/>
    <w:rsid w:val="000D6674"/>
    <w:rsid w:val="000D6AFB"/>
    <w:rsid w:val="000D71E7"/>
    <w:rsid w:val="000D7A17"/>
    <w:rsid w:val="000D7C62"/>
    <w:rsid w:val="000D7E0E"/>
    <w:rsid w:val="000E0247"/>
    <w:rsid w:val="000E0C6E"/>
    <w:rsid w:val="000E0CF7"/>
    <w:rsid w:val="000E1542"/>
    <w:rsid w:val="000E1FE6"/>
    <w:rsid w:val="000E2F23"/>
    <w:rsid w:val="000E330F"/>
    <w:rsid w:val="000E4095"/>
    <w:rsid w:val="000E45A6"/>
    <w:rsid w:val="000E4A95"/>
    <w:rsid w:val="000E4C6F"/>
    <w:rsid w:val="000E4F09"/>
    <w:rsid w:val="000E5198"/>
    <w:rsid w:val="000E5781"/>
    <w:rsid w:val="000E59DD"/>
    <w:rsid w:val="000E649A"/>
    <w:rsid w:val="000E6DC4"/>
    <w:rsid w:val="000E6E53"/>
    <w:rsid w:val="000E6EDF"/>
    <w:rsid w:val="000E738A"/>
    <w:rsid w:val="000E7514"/>
    <w:rsid w:val="000E7756"/>
    <w:rsid w:val="000E7CA6"/>
    <w:rsid w:val="000E7E2F"/>
    <w:rsid w:val="000E7E60"/>
    <w:rsid w:val="000F045B"/>
    <w:rsid w:val="000F04F0"/>
    <w:rsid w:val="000F07D2"/>
    <w:rsid w:val="000F106F"/>
    <w:rsid w:val="000F1151"/>
    <w:rsid w:val="000F1BC3"/>
    <w:rsid w:val="000F34EF"/>
    <w:rsid w:val="000F3847"/>
    <w:rsid w:val="000F38E0"/>
    <w:rsid w:val="000F3CB0"/>
    <w:rsid w:val="000F3E60"/>
    <w:rsid w:val="000F41C5"/>
    <w:rsid w:val="000F424E"/>
    <w:rsid w:val="000F498E"/>
    <w:rsid w:val="000F5449"/>
    <w:rsid w:val="000F5716"/>
    <w:rsid w:val="000F57C1"/>
    <w:rsid w:val="000F5A35"/>
    <w:rsid w:val="000F61F3"/>
    <w:rsid w:val="000F63AA"/>
    <w:rsid w:val="000F6564"/>
    <w:rsid w:val="000F6D3C"/>
    <w:rsid w:val="000F6EFB"/>
    <w:rsid w:val="000F6F43"/>
    <w:rsid w:val="000F7557"/>
    <w:rsid w:val="000F78B8"/>
    <w:rsid w:val="000F7E01"/>
    <w:rsid w:val="00100CD1"/>
    <w:rsid w:val="00100F3D"/>
    <w:rsid w:val="00101E28"/>
    <w:rsid w:val="00102048"/>
    <w:rsid w:val="00102C0A"/>
    <w:rsid w:val="00102F9F"/>
    <w:rsid w:val="00103260"/>
    <w:rsid w:val="001036F1"/>
    <w:rsid w:val="00103DE9"/>
    <w:rsid w:val="00104997"/>
    <w:rsid w:val="00104D99"/>
    <w:rsid w:val="00104E31"/>
    <w:rsid w:val="00104EC7"/>
    <w:rsid w:val="00105F9D"/>
    <w:rsid w:val="00106496"/>
    <w:rsid w:val="00106718"/>
    <w:rsid w:val="00106D93"/>
    <w:rsid w:val="001070CE"/>
    <w:rsid w:val="001075B2"/>
    <w:rsid w:val="0010760B"/>
    <w:rsid w:val="00107E6E"/>
    <w:rsid w:val="00110135"/>
    <w:rsid w:val="00110A04"/>
    <w:rsid w:val="00110D27"/>
    <w:rsid w:val="00111169"/>
    <w:rsid w:val="00111663"/>
    <w:rsid w:val="00111F09"/>
    <w:rsid w:val="00112B65"/>
    <w:rsid w:val="001131BA"/>
    <w:rsid w:val="00113274"/>
    <w:rsid w:val="0011373C"/>
    <w:rsid w:val="0011395F"/>
    <w:rsid w:val="00113E21"/>
    <w:rsid w:val="00114000"/>
    <w:rsid w:val="001145D6"/>
    <w:rsid w:val="00114BEC"/>
    <w:rsid w:val="00114EAE"/>
    <w:rsid w:val="00115AAE"/>
    <w:rsid w:val="00115B56"/>
    <w:rsid w:val="00115B57"/>
    <w:rsid w:val="00115E2A"/>
    <w:rsid w:val="00117071"/>
    <w:rsid w:val="001172AE"/>
    <w:rsid w:val="00117967"/>
    <w:rsid w:val="00117B56"/>
    <w:rsid w:val="0012013F"/>
    <w:rsid w:val="00120A81"/>
    <w:rsid w:val="00120E50"/>
    <w:rsid w:val="00120E72"/>
    <w:rsid w:val="00120EBF"/>
    <w:rsid w:val="0012152A"/>
    <w:rsid w:val="001218AF"/>
    <w:rsid w:val="00121E41"/>
    <w:rsid w:val="00122264"/>
    <w:rsid w:val="00122880"/>
    <w:rsid w:val="00122BAA"/>
    <w:rsid w:val="001230F5"/>
    <w:rsid w:val="00123A32"/>
    <w:rsid w:val="00123F6B"/>
    <w:rsid w:val="00124657"/>
    <w:rsid w:val="0012472F"/>
    <w:rsid w:val="00125083"/>
    <w:rsid w:val="001255B4"/>
    <w:rsid w:val="001256B6"/>
    <w:rsid w:val="00125702"/>
    <w:rsid w:val="00125C5F"/>
    <w:rsid w:val="0012609B"/>
    <w:rsid w:val="001269C3"/>
    <w:rsid w:val="00126A23"/>
    <w:rsid w:val="0012779C"/>
    <w:rsid w:val="00127B13"/>
    <w:rsid w:val="0013041E"/>
    <w:rsid w:val="001304DB"/>
    <w:rsid w:val="00130909"/>
    <w:rsid w:val="00130A47"/>
    <w:rsid w:val="00131104"/>
    <w:rsid w:val="001315EB"/>
    <w:rsid w:val="0013192F"/>
    <w:rsid w:val="0013202F"/>
    <w:rsid w:val="00132130"/>
    <w:rsid w:val="001323ED"/>
    <w:rsid w:val="001326A0"/>
    <w:rsid w:val="00133226"/>
    <w:rsid w:val="001336CF"/>
    <w:rsid w:val="00133B30"/>
    <w:rsid w:val="00133F1B"/>
    <w:rsid w:val="00134365"/>
    <w:rsid w:val="001345A4"/>
    <w:rsid w:val="00134623"/>
    <w:rsid w:val="00134B7F"/>
    <w:rsid w:val="001363FA"/>
    <w:rsid w:val="0013643D"/>
    <w:rsid w:val="001370C1"/>
    <w:rsid w:val="00137374"/>
    <w:rsid w:val="00137705"/>
    <w:rsid w:val="00137CE5"/>
    <w:rsid w:val="00137DDA"/>
    <w:rsid w:val="001406BC"/>
    <w:rsid w:val="00140BE5"/>
    <w:rsid w:val="0014105D"/>
    <w:rsid w:val="001416D1"/>
    <w:rsid w:val="00142202"/>
    <w:rsid w:val="00143029"/>
    <w:rsid w:val="00143128"/>
    <w:rsid w:val="00143873"/>
    <w:rsid w:val="001438C9"/>
    <w:rsid w:val="00143D1F"/>
    <w:rsid w:val="0014435D"/>
    <w:rsid w:val="00144899"/>
    <w:rsid w:val="00144987"/>
    <w:rsid w:val="00144CD3"/>
    <w:rsid w:val="0014508A"/>
    <w:rsid w:val="001450D2"/>
    <w:rsid w:val="00145131"/>
    <w:rsid w:val="001451BF"/>
    <w:rsid w:val="001454C5"/>
    <w:rsid w:val="00145C7E"/>
    <w:rsid w:val="00146500"/>
    <w:rsid w:val="00146806"/>
    <w:rsid w:val="00146872"/>
    <w:rsid w:val="00147700"/>
    <w:rsid w:val="00147E90"/>
    <w:rsid w:val="00151895"/>
    <w:rsid w:val="00151D1C"/>
    <w:rsid w:val="001520DD"/>
    <w:rsid w:val="00152244"/>
    <w:rsid w:val="00152AFE"/>
    <w:rsid w:val="00152F26"/>
    <w:rsid w:val="00153328"/>
    <w:rsid w:val="001539D2"/>
    <w:rsid w:val="00153A58"/>
    <w:rsid w:val="00153B5C"/>
    <w:rsid w:val="001542DF"/>
    <w:rsid w:val="001544DE"/>
    <w:rsid w:val="0015492D"/>
    <w:rsid w:val="00154FFC"/>
    <w:rsid w:val="00155D8E"/>
    <w:rsid w:val="001565AF"/>
    <w:rsid w:val="00156E7C"/>
    <w:rsid w:val="00157476"/>
    <w:rsid w:val="0015799C"/>
    <w:rsid w:val="00157B13"/>
    <w:rsid w:val="00157C7C"/>
    <w:rsid w:val="00157D6B"/>
    <w:rsid w:val="00157DC3"/>
    <w:rsid w:val="00160707"/>
    <w:rsid w:val="0016080D"/>
    <w:rsid w:val="00160846"/>
    <w:rsid w:val="00161911"/>
    <w:rsid w:val="0016210C"/>
    <w:rsid w:val="00162C5A"/>
    <w:rsid w:val="00162DF1"/>
    <w:rsid w:val="00163DA3"/>
    <w:rsid w:val="00164046"/>
    <w:rsid w:val="001640CD"/>
    <w:rsid w:val="001643EA"/>
    <w:rsid w:val="0016479D"/>
    <w:rsid w:val="00164831"/>
    <w:rsid w:val="00165197"/>
    <w:rsid w:val="00166449"/>
    <w:rsid w:val="00166EC4"/>
    <w:rsid w:val="00170844"/>
    <w:rsid w:val="001708D1"/>
    <w:rsid w:val="001708E4"/>
    <w:rsid w:val="00171BBA"/>
    <w:rsid w:val="00171FAD"/>
    <w:rsid w:val="00172627"/>
    <w:rsid w:val="00172A27"/>
    <w:rsid w:val="00173818"/>
    <w:rsid w:val="00173D75"/>
    <w:rsid w:val="00173D80"/>
    <w:rsid w:val="00173F49"/>
    <w:rsid w:val="0017536F"/>
    <w:rsid w:val="001769FC"/>
    <w:rsid w:val="00176A14"/>
    <w:rsid w:val="001774C9"/>
    <w:rsid w:val="001776F8"/>
    <w:rsid w:val="0017797A"/>
    <w:rsid w:val="00180526"/>
    <w:rsid w:val="001809D0"/>
    <w:rsid w:val="00180E0B"/>
    <w:rsid w:val="00181246"/>
    <w:rsid w:val="00181BF9"/>
    <w:rsid w:val="001822FB"/>
    <w:rsid w:val="0018281F"/>
    <w:rsid w:val="00182E41"/>
    <w:rsid w:val="00183DBC"/>
    <w:rsid w:val="00184272"/>
    <w:rsid w:val="00185FD7"/>
    <w:rsid w:val="00186408"/>
    <w:rsid w:val="00186815"/>
    <w:rsid w:val="001869E3"/>
    <w:rsid w:val="00186CA0"/>
    <w:rsid w:val="00190F19"/>
    <w:rsid w:val="001913A1"/>
    <w:rsid w:val="00191D66"/>
    <w:rsid w:val="00191ECB"/>
    <w:rsid w:val="00192121"/>
    <w:rsid w:val="00192265"/>
    <w:rsid w:val="0019268B"/>
    <w:rsid w:val="0019280A"/>
    <w:rsid w:val="0019293C"/>
    <w:rsid w:val="00192987"/>
    <w:rsid w:val="00192DA9"/>
    <w:rsid w:val="00193458"/>
    <w:rsid w:val="001943AC"/>
    <w:rsid w:val="001944BE"/>
    <w:rsid w:val="00194AE6"/>
    <w:rsid w:val="00194CDE"/>
    <w:rsid w:val="001953AA"/>
    <w:rsid w:val="001962C0"/>
    <w:rsid w:val="001964D3"/>
    <w:rsid w:val="001969A1"/>
    <w:rsid w:val="00197998"/>
    <w:rsid w:val="00197BF3"/>
    <w:rsid w:val="00197C2F"/>
    <w:rsid w:val="001A00F5"/>
    <w:rsid w:val="001A0214"/>
    <w:rsid w:val="001A0886"/>
    <w:rsid w:val="001A10DB"/>
    <w:rsid w:val="001A1A95"/>
    <w:rsid w:val="001A1D5A"/>
    <w:rsid w:val="001A1E49"/>
    <w:rsid w:val="001A1E4B"/>
    <w:rsid w:val="001A208C"/>
    <w:rsid w:val="001A2B7E"/>
    <w:rsid w:val="001A375E"/>
    <w:rsid w:val="001A3CA9"/>
    <w:rsid w:val="001A4AAC"/>
    <w:rsid w:val="001A4BCF"/>
    <w:rsid w:val="001A4C75"/>
    <w:rsid w:val="001A4EAE"/>
    <w:rsid w:val="001A4EE8"/>
    <w:rsid w:val="001A5036"/>
    <w:rsid w:val="001A577E"/>
    <w:rsid w:val="001A5A4E"/>
    <w:rsid w:val="001A5BCD"/>
    <w:rsid w:val="001A665D"/>
    <w:rsid w:val="001A66E5"/>
    <w:rsid w:val="001A67EB"/>
    <w:rsid w:val="001A696C"/>
    <w:rsid w:val="001A7368"/>
    <w:rsid w:val="001A7411"/>
    <w:rsid w:val="001A79CD"/>
    <w:rsid w:val="001A7EA0"/>
    <w:rsid w:val="001B0139"/>
    <w:rsid w:val="001B079D"/>
    <w:rsid w:val="001B0831"/>
    <w:rsid w:val="001B0F8C"/>
    <w:rsid w:val="001B1009"/>
    <w:rsid w:val="001B1555"/>
    <w:rsid w:val="001B249F"/>
    <w:rsid w:val="001B2B20"/>
    <w:rsid w:val="001B35E0"/>
    <w:rsid w:val="001B37DE"/>
    <w:rsid w:val="001B4232"/>
    <w:rsid w:val="001B449D"/>
    <w:rsid w:val="001B472F"/>
    <w:rsid w:val="001B486A"/>
    <w:rsid w:val="001B4901"/>
    <w:rsid w:val="001B5296"/>
    <w:rsid w:val="001B59A1"/>
    <w:rsid w:val="001B5BDE"/>
    <w:rsid w:val="001B6177"/>
    <w:rsid w:val="001B6399"/>
    <w:rsid w:val="001B642D"/>
    <w:rsid w:val="001B6B27"/>
    <w:rsid w:val="001B6BD3"/>
    <w:rsid w:val="001B7C47"/>
    <w:rsid w:val="001C1292"/>
    <w:rsid w:val="001C1785"/>
    <w:rsid w:val="001C17D3"/>
    <w:rsid w:val="001C1CDC"/>
    <w:rsid w:val="001C257B"/>
    <w:rsid w:val="001C28D2"/>
    <w:rsid w:val="001C2D74"/>
    <w:rsid w:val="001C2E60"/>
    <w:rsid w:val="001C3A61"/>
    <w:rsid w:val="001C4073"/>
    <w:rsid w:val="001C5BC5"/>
    <w:rsid w:val="001C5E5F"/>
    <w:rsid w:val="001C6031"/>
    <w:rsid w:val="001C6471"/>
    <w:rsid w:val="001C674C"/>
    <w:rsid w:val="001C68EF"/>
    <w:rsid w:val="001C7194"/>
    <w:rsid w:val="001C7417"/>
    <w:rsid w:val="001C76DF"/>
    <w:rsid w:val="001C77C4"/>
    <w:rsid w:val="001C7A25"/>
    <w:rsid w:val="001D058D"/>
    <w:rsid w:val="001D1A17"/>
    <w:rsid w:val="001D21D4"/>
    <w:rsid w:val="001D244B"/>
    <w:rsid w:val="001D2585"/>
    <w:rsid w:val="001D29CB"/>
    <w:rsid w:val="001D32AF"/>
    <w:rsid w:val="001D3425"/>
    <w:rsid w:val="001D3A72"/>
    <w:rsid w:val="001D3D94"/>
    <w:rsid w:val="001D41C3"/>
    <w:rsid w:val="001D469E"/>
    <w:rsid w:val="001D4987"/>
    <w:rsid w:val="001D5642"/>
    <w:rsid w:val="001D5676"/>
    <w:rsid w:val="001D5C43"/>
    <w:rsid w:val="001D6051"/>
    <w:rsid w:val="001D613F"/>
    <w:rsid w:val="001D659B"/>
    <w:rsid w:val="001D6CF4"/>
    <w:rsid w:val="001D780F"/>
    <w:rsid w:val="001D7B85"/>
    <w:rsid w:val="001D7D97"/>
    <w:rsid w:val="001E0E19"/>
    <w:rsid w:val="001E11D7"/>
    <w:rsid w:val="001E1214"/>
    <w:rsid w:val="001E129D"/>
    <w:rsid w:val="001E1369"/>
    <w:rsid w:val="001E15CD"/>
    <w:rsid w:val="001E1C9F"/>
    <w:rsid w:val="001E24B3"/>
    <w:rsid w:val="001E4DAA"/>
    <w:rsid w:val="001E59A4"/>
    <w:rsid w:val="001E6860"/>
    <w:rsid w:val="001E6BFD"/>
    <w:rsid w:val="001E7283"/>
    <w:rsid w:val="001E7D1E"/>
    <w:rsid w:val="001E7DAF"/>
    <w:rsid w:val="001F0B3A"/>
    <w:rsid w:val="001F0F50"/>
    <w:rsid w:val="001F11E9"/>
    <w:rsid w:val="001F14AF"/>
    <w:rsid w:val="001F1697"/>
    <w:rsid w:val="001F1AEB"/>
    <w:rsid w:val="001F1EC4"/>
    <w:rsid w:val="001F23EA"/>
    <w:rsid w:val="001F2BF9"/>
    <w:rsid w:val="001F3259"/>
    <w:rsid w:val="001F3642"/>
    <w:rsid w:val="001F3AE7"/>
    <w:rsid w:val="001F477F"/>
    <w:rsid w:val="001F4B2B"/>
    <w:rsid w:val="001F4CC1"/>
    <w:rsid w:val="001F5172"/>
    <w:rsid w:val="001F53C9"/>
    <w:rsid w:val="001F5613"/>
    <w:rsid w:val="001F6152"/>
    <w:rsid w:val="001F6DB7"/>
    <w:rsid w:val="001F6F16"/>
    <w:rsid w:val="001F7453"/>
    <w:rsid w:val="001F76A3"/>
    <w:rsid w:val="001F77DE"/>
    <w:rsid w:val="001F7B27"/>
    <w:rsid w:val="001F7C1A"/>
    <w:rsid w:val="002003AC"/>
    <w:rsid w:val="00200DD4"/>
    <w:rsid w:val="00201495"/>
    <w:rsid w:val="00201598"/>
    <w:rsid w:val="002018C8"/>
    <w:rsid w:val="002019C0"/>
    <w:rsid w:val="002020C1"/>
    <w:rsid w:val="0020230C"/>
    <w:rsid w:val="00202570"/>
    <w:rsid w:val="00202A2E"/>
    <w:rsid w:val="00202F34"/>
    <w:rsid w:val="00203484"/>
    <w:rsid w:val="00203D07"/>
    <w:rsid w:val="00203E7D"/>
    <w:rsid w:val="00204E68"/>
    <w:rsid w:val="0020604F"/>
    <w:rsid w:val="002068AA"/>
    <w:rsid w:val="002074A6"/>
    <w:rsid w:val="002079EA"/>
    <w:rsid w:val="00210077"/>
    <w:rsid w:val="002100A2"/>
    <w:rsid w:val="00210701"/>
    <w:rsid w:val="00211D31"/>
    <w:rsid w:val="0021217B"/>
    <w:rsid w:val="002124D6"/>
    <w:rsid w:val="00212B13"/>
    <w:rsid w:val="00212DFD"/>
    <w:rsid w:val="00213339"/>
    <w:rsid w:val="00213CA3"/>
    <w:rsid w:val="00213DB4"/>
    <w:rsid w:val="0021427F"/>
    <w:rsid w:val="00214591"/>
    <w:rsid w:val="00214628"/>
    <w:rsid w:val="00214757"/>
    <w:rsid w:val="00216674"/>
    <w:rsid w:val="0021673E"/>
    <w:rsid w:val="00216749"/>
    <w:rsid w:val="00216C12"/>
    <w:rsid w:val="002174BE"/>
    <w:rsid w:val="00217BA8"/>
    <w:rsid w:val="00220076"/>
    <w:rsid w:val="00220980"/>
    <w:rsid w:val="00220A2A"/>
    <w:rsid w:val="00220D61"/>
    <w:rsid w:val="002213F2"/>
    <w:rsid w:val="0022175D"/>
    <w:rsid w:val="00222C33"/>
    <w:rsid w:val="00223091"/>
    <w:rsid w:val="002233F1"/>
    <w:rsid w:val="0022358B"/>
    <w:rsid w:val="0022387D"/>
    <w:rsid w:val="00224304"/>
    <w:rsid w:val="00224388"/>
    <w:rsid w:val="0022493E"/>
    <w:rsid w:val="002252E2"/>
    <w:rsid w:val="002253A0"/>
    <w:rsid w:val="0022553E"/>
    <w:rsid w:val="00225EBA"/>
    <w:rsid w:val="00226DDE"/>
    <w:rsid w:val="00227018"/>
    <w:rsid w:val="00227883"/>
    <w:rsid w:val="00227FAE"/>
    <w:rsid w:val="002306DF"/>
    <w:rsid w:val="002309FF"/>
    <w:rsid w:val="00230C0D"/>
    <w:rsid w:val="00230CAF"/>
    <w:rsid w:val="00230E48"/>
    <w:rsid w:val="0023130F"/>
    <w:rsid w:val="0023140C"/>
    <w:rsid w:val="0023290E"/>
    <w:rsid w:val="002329A5"/>
    <w:rsid w:val="00232AA9"/>
    <w:rsid w:val="002332CF"/>
    <w:rsid w:val="00233482"/>
    <w:rsid w:val="00233528"/>
    <w:rsid w:val="00234814"/>
    <w:rsid w:val="00234D92"/>
    <w:rsid w:val="00234E01"/>
    <w:rsid w:val="0023519D"/>
    <w:rsid w:val="00235577"/>
    <w:rsid w:val="00235BE0"/>
    <w:rsid w:val="00235F87"/>
    <w:rsid w:val="002360B5"/>
    <w:rsid w:val="002364EE"/>
    <w:rsid w:val="002364FC"/>
    <w:rsid w:val="002367D6"/>
    <w:rsid w:val="00236B9D"/>
    <w:rsid w:val="002375FB"/>
    <w:rsid w:val="002403CF"/>
    <w:rsid w:val="002407DA"/>
    <w:rsid w:val="00241034"/>
    <w:rsid w:val="0024117E"/>
    <w:rsid w:val="0024276D"/>
    <w:rsid w:val="0024300B"/>
    <w:rsid w:val="00243746"/>
    <w:rsid w:val="002438B4"/>
    <w:rsid w:val="00243966"/>
    <w:rsid w:val="00243BBB"/>
    <w:rsid w:val="00243C90"/>
    <w:rsid w:val="00243D9A"/>
    <w:rsid w:val="002447DC"/>
    <w:rsid w:val="002452DD"/>
    <w:rsid w:val="00245389"/>
    <w:rsid w:val="00245E68"/>
    <w:rsid w:val="00246802"/>
    <w:rsid w:val="002473E5"/>
    <w:rsid w:val="00247478"/>
    <w:rsid w:val="0024758F"/>
    <w:rsid w:val="0024776A"/>
    <w:rsid w:val="00250150"/>
    <w:rsid w:val="00250AA9"/>
    <w:rsid w:val="0025190D"/>
    <w:rsid w:val="00251A3E"/>
    <w:rsid w:val="00252142"/>
    <w:rsid w:val="00252ACB"/>
    <w:rsid w:val="0025332C"/>
    <w:rsid w:val="00254279"/>
    <w:rsid w:val="002543F0"/>
    <w:rsid w:val="002546E7"/>
    <w:rsid w:val="00254B38"/>
    <w:rsid w:val="00256A1D"/>
    <w:rsid w:val="00256C7F"/>
    <w:rsid w:val="00257C22"/>
    <w:rsid w:val="00257C58"/>
    <w:rsid w:val="00257E8E"/>
    <w:rsid w:val="002602C3"/>
    <w:rsid w:val="002606C0"/>
    <w:rsid w:val="002607F1"/>
    <w:rsid w:val="00260CB3"/>
    <w:rsid w:val="002618D5"/>
    <w:rsid w:val="0026190E"/>
    <w:rsid w:val="0026222B"/>
    <w:rsid w:val="002628F3"/>
    <w:rsid w:val="00262AEA"/>
    <w:rsid w:val="00262B5A"/>
    <w:rsid w:val="00262D45"/>
    <w:rsid w:val="00263275"/>
    <w:rsid w:val="00263464"/>
    <w:rsid w:val="00263AB4"/>
    <w:rsid w:val="00263DCE"/>
    <w:rsid w:val="002641B1"/>
    <w:rsid w:val="00264771"/>
    <w:rsid w:val="00264A9D"/>
    <w:rsid w:val="00264D74"/>
    <w:rsid w:val="002655CC"/>
    <w:rsid w:val="00265B96"/>
    <w:rsid w:val="00265DA2"/>
    <w:rsid w:val="00266F67"/>
    <w:rsid w:val="002671DC"/>
    <w:rsid w:val="00267971"/>
    <w:rsid w:val="00267FB4"/>
    <w:rsid w:val="002701AA"/>
    <w:rsid w:val="00270D89"/>
    <w:rsid w:val="00270E61"/>
    <w:rsid w:val="00271B73"/>
    <w:rsid w:val="00271E82"/>
    <w:rsid w:val="002722F4"/>
    <w:rsid w:val="00272369"/>
    <w:rsid w:val="00272606"/>
    <w:rsid w:val="00272682"/>
    <w:rsid w:val="00272AB6"/>
    <w:rsid w:val="002734CD"/>
    <w:rsid w:val="00273716"/>
    <w:rsid w:val="00273920"/>
    <w:rsid w:val="00274122"/>
    <w:rsid w:val="0027432F"/>
    <w:rsid w:val="002743A1"/>
    <w:rsid w:val="00274922"/>
    <w:rsid w:val="002756FD"/>
    <w:rsid w:val="00276185"/>
    <w:rsid w:val="002767B4"/>
    <w:rsid w:val="00276B41"/>
    <w:rsid w:val="00276F7A"/>
    <w:rsid w:val="00277412"/>
    <w:rsid w:val="00277569"/>
    <w:rsid w:val="0027756D"/>
    <w:rsid w:val="0028056C"/>
    <w:rsid w:val="00280613"/>
    <w:rsid w:val="00280674"/>
    <w:rsid w:val="00280679"/>
    <w:rsid w:val="00280932"/>
    <w:rsid w:val="00280F3D"/>
    <w:rsid w:val="00281104"/>
    <w:rsid w:val="00281310"/>
    <w:rsid w:val="00281351"/>
    <w:rsid w:val="00281C75"/>
    <w:rsid w:val="00281D76"/>
    <w:rsid w:val="00281E89"/>
    <w:rsid w:val="00282312"/>
    <w:rsid w:val="002823B2"/>
    <w:rsid w:val="0028261C"/>
    <w:rsid w:val="00282A44"/>
    <w:rsid w:val="002832AF"/>
    <w:rsid w:val="00283C64"/>
    <w:rsid w:val="00283CAC"/>
    <w:rsid w:val="00283CDC"/>
    <w:rsid w:val="00285185"/>
    <w:rsid w:val="00285307"/>
    <w:rsid w:val="00285D48"/>
    <w:rsid w:val="00285F02"/>
    <w:rsid w:val="00287D3F"/>
    <w:rsid w:val="002902FF"/>
    <w:rsid w:val="0029090B"/>
    <w:rsid w:val="002912ED"/>
    <w:rsid w:val="002923F7"/>
    <w:rsid w:val="00293117"/>
    <w:rsid w:val="00293206"/>
    <w:rsid w:val="002949E5"/>
    <w:rsid w:val="00294B80"/>
    <w:rsid w:val="00294E57"/>
    <w:rsid w:val="002950CA"/>
    <w:rsid w:val="0029531A"/>
    <w:rsid w:val="0029598F"/>
    <w:rsid w:val="00295BDE"/>
    <w:rsid w:val="00295D6A"/>
    <w:rsid w:val="00295F18"/>
    <w:rsid w:val="002963AB"/>
    <w:rsid w:val="0029642C"/>
    <w:rsid w:val="00296DBC"/>
    <w:rsid w:val="002970B6"/>
    <w:rsid w:val="00297D63"/>
    <w:rsid w:val="002A021D"/>
    <w:rsid w:val="002A06E1"/>
    <w:rsid w:val="002A1A05"/>
    <w:rsid w:val="002A1DAC"/>
    <w:rsid w:val="002A2758"/>
    <w:rsid w:val="002A2EBA"/>
    <w:rsid w:val="002A3A89"/>
    <w:rsid w:val="002A4642"/>
    <w:rsid w:val="002A504C"/>
    <w:rsid w:val="002A5A6D"/>
    <w:rsid w:val="002A6143"/>
    <w:rsid w:val="002A6944"/>
    <w:rsid w:val="002A7184"/>
    <w:rsid w:val="002A7E0E"/>
    <w:rsid w:val="002A7EB6"/>
    <w:rsid w:val="002B00E5"/>
    <w:rsid w:val="002B0459"/>
    <w:rsid w:val="002B09DA"/>
    <w:rsid w:val="002B0B1E"/>
    <w:rsid w:val="002B0C19"/>
    <w:rsid w:val="002B0C31"/>
    <w:rsid w:val="002B176B"/>
    <w:rsid w:val="002B1BFE"/>
    <w:rsid w:val="002B20E1"/>
    <w:rsid w:val="002B21C8"/>
    <w:rsid w:val="002B24E6"/>
    <w:rsid w:val="002B2718"/>
    <w:rsid w:val="002B29D9"/>
    <w:rsid w:val="002B2DA1"/>
    <w:rsid w:val="002B2FE3"/>
    <w:rsid w:val="002B3176"/>
    <w:rsid w:val="002B3212"/>
    <w:rsid w:val="002B3899"/>
    <w:rsid w:val="002B425D"/>
    <w:rsid w:val="002B4DB1"/>
    <w:rsid w:val="002B50C1"/>
    <w:rsid w:val="002B5E16"/>
    <w:rsid w:val="002B5F6F"/>
    <w:rsid w:val="002B6696"/>
    <w:rsid w:val="002B7EE4"/>
    <w:rsid w:val="002C12F3"/>
    <w:rsid w:val="002C2774"/>
    <w:rsid w:val="002C29C8"/>
    <w:rsid w:val="002C2B44"/>
    <w:rsid w:val="002C3AD5"/>
    <w:rsid w:val="002C3CE0"/>
    <w:rsid w:val="002C3E0F"/>
    <w:rsid w:val="002C420D"/>
    <w:rsid w:val="002C424A"/>
    <w:rsid w:val="002C512A"/>
    <w:rsid w:val="002C5150"/>
    <w:rsid w:val="002C52F6"/>
    <w:rsid w:val="002C5B6B"/>
    <w:rsid w:val="002C61A1"/>
    <w:rsid w:val="002C6372"/>
    <w:rsid w:val="002C637A"/>
    <w:rsid w:val="002C64F7"/>
    <w:rsid w:val="002C6B11"/>
    <w:rsid w:val="002C79A4"/>
    <w:rsid w:val="002D0BF0"/>
    <w:rsid w:val="002D1170"/>
    <w:rsid w:val="002D143F"/>
    <w:rsid w:val="002D1DB7"/>
    <w:rsid w:val="002D1E37"/>
    <w:rsid w:val="002D1E38"/>
    <w:rsid w:val="002D2352"/>
    <w:rsid w:val="002D2A05"/>
    <w:rsid w:val="002D2B39"/>
    <w:rsid w:val="002D3906"/>
    <w:rsid w:val="002D3BDB"/>
    <w:rsid w:val="002D3C0B"/>
    <w:rsid w:val="002D4075"/>
    <w:rsid w:val="002D4508"/>
    <w:rsid w:val="002D48B9"/>
    <w:rsid w:val="002D4CB8"/>
    <w:rsid w:val="002D52EE"/>
    <w:rsid w:val="002D57D0"/>
    <w:rsid w:val="002D6373"/>
    <w:rsid w:val="002D71C1"/>
    <w:rsid w:val="002D7371"/>
    <w:rsid w:val="002D759A"/>
    <w:rsid w:val="002D7CAA"/>
    <w:rsid w:val="002E0126"/>
    <w:rsid w:val="002E0CE2"/>
    <w:rsid w:val="002E0E00"/>
    <w:rsid w:val="002E0FDA"/>
    <w:rsid w:val="002E1A2F"/>
    <w:rsid w:val="002E2241"/>
    <w:rsid w:val="002E282F"/>
    <w:rsid w:val="002E29F1"/>
    <w:rsid w:val="002E33D3"/>
    <w:rsid w:val="002E3513"/>
    <w:rsid w:val="002E3767"/>
    <w:rsid w:val="002E3D17"/>
    <w:rsid w:val="002E445F"/>
    <w:rsid w:val="002E448D"/>
    <w:rsid w:val="002E4EBA"/>
    <w:rsid w:val="002E4F45"/>
    <w:rsid w:val="002E5AC5"/>
    <w:rsid w:val="002E65EA"/>
    <w:rsid w:val="002E66D7"/>
    <w:rsid w:val="002E6816"/>
    <w:rsid w:val="002E6BB6"/>
    <w:rsid w:val="002E6BF2"/>
    <w:rsid w:val="002E6EA5"/>
    <w:rsid w:val="002E7374"/>
    <w:rsid w:val="002E7973"/>
    <w:rsid w:val="002E7B8F"/>
    <w:rsid w:val="002E7C74"/>
    <w:rsid w:val="002F0141"/>
    <w:rsid w:val="002F0368"/>
    <w:rsid w:val="002F05E5"/>
    <w:rsid w:val="002F0778"/>
    <w:rsid w:val="002F0AF7"/>
    <w:rsid w:val="002F0BF9"/>
    <w:rsid w:val="002F1287"/>
    <w:rsid w:val="002F132F"/>
    <w:rsid w:val="002F1DE6"/>
    <w:rsid w:val="002F28B4"/>
    <w:rsid w:val="002F2DC4"/>
    <w:rsid w:val="002F3529"/>
    <w:rsid w:val="002F44CC"/>
    <w:rsid w:val="002F4915"/>
    <w:rsid w:val="002F4F6A"/>
    <w:rsid w:val="002F52AC"/>
    <w:rsid w:val="002F5395"/>
    <w:rsid w:val="002F53F8"/>
    <w:rsid w:val="002F5BF6"/>
    <w:rsid w:val="002F5C25"/>
    <w:rsid w:val="002F6132"/>
    <w:rsid w:val="002F6A9A"/>
    <w:rsid w:val="002F6D91"/>
    <w:rsid w:val="002F73AA"/>
    <w:rsid w:val="002F743F"/>
    <w:rsid w:val="002F7447"/>
    <w:rsid w:val="002F7825"/>
    <w:rsid w:val="002F78C8"/>
    <w:rsid w:val="002F7D9B"/>
    <w:rsid w:val="00300265"/>
    <w:rsid w:val="00300661"/>
    <w:rsid w:val="003018BF"/>
    <w:rsid w:val="0030203D"/>
    <w:rsid w:val="00302F9A"/>
    <w:rsid w:val="00303066"/>
    <w:rsid w:val="003030D3"/>
    <w:rsid w:val="003031C5"/>
    <w:rsid w:val="0030337A"/>
    <w:rsid w:val="0030347E"/>
    <w:rsid w:val="00303BBB"/>
    <w:rsid w:val="00304159"/>
    <w:rsid w:val="00304D54"/>
    <w:rsid w:val="003055A3"/>
    <w:rsid w:val="0030590A"/>
    <w:rsid w:val="003062E6"/>
    <w:rsid w:val="003068D8"/>
    <w:rsid w:val="00310289"/>
    <w:rsid w:val="00311B1B"/>
    <w:rsid w:val="00311BFD"/>
    <w:rsid w:val="00311D6B"/>
    <w:rsid w:val="00311E43"/>
    <w:rsid w:val="00311EFF"/>
    <w:rsid w:val="00312B00"/>
    <w:rsid w:val="00312E51"/>
    <w:rsid w:val="00313465"/>
    <w:rsid w:val="003136C5"/>
    <w:rsid w:val="00314AA6"/>
    <w:rsid w:val="0031538E"/>
    <w:rsid w:val="003157A6"/>
    <w:rsid w:val="003168D4"/>
    <w:rsid w:val="003173C4"/>
    <w:rsid w:val="0031743E"/>
    <w:rsid w:val="00317EA1"/>
    <w:rsid w:val="003203C1"/>
    <w:rsid w:val="0032068A"/>
    <w:rsid w:val="003206B2"/>
    <w:rsid w:val="00321272"/>
    <w:rsid w:val="00321E28"/>
    <w:rsid w:val="003222AC"/>
    <w:rsid w:val="003222C0"/>
    <w:rsid w:val="00322A74"/>
    <w:rsid w:val="003233D6"/>
    <w:rsid w:val="00323465"/>
    <w:rsid w:val="003235B9"/>
    <w:rsid w:val="0032384A"/>
    <w:rsid w:val="0032439B"/>
    <w:rsid w:val="0032525C"/>
    <w:rsid w:val="00325315"/>
    <w:rsid w:val="003254A8"/>
    <w:rsid w:val="00325E85"/>
    <w:rsid w:val="00326088"/>
    <w:rsid w:val="003265CE"/>
    <w:rsid w:val="003268DD"/>
    <w:rsid w:val="00326C56"/>
    <w:rsid w:val="00327293"/>
    <w:rsid w:val="00327401"/>
    <w:rsid w:val="00327441"/>
    <w:rsid w:val="0032749F"/>
    <w:rsid w:val="0032751C"/>
    <w:rsid w:val="00327DCA"/>
    <w:rsid w:val="003307E8"/>
    <w:rsid w:val="00330C67"/>
    <w:rsid w:val="00330F31"/>
    <w:rsid w:val="0033144E"/>
    <w:rsid w:val="00331FE2"/>
    <w:rsid w:val="003324A9"/>
    <w:rsid w:val="0033344A"/>
    <w:rsid w:val="00333C82"/>
    <w:rsid w:val="00334423"/>
    <w:rsid w:val="003347D6"/>
    <w:rsid w:val="00335B3A"/>
    <w:rsid w:val="00335C44"/>
    <w:rsid w:val="00335CEA"/>
    <w:rsid w:val="00335F8F"/>
    <w:rsid w:val="0033620E"/>
    <w:rsid w:val="00336ADC"/>
    <w:rsid w:val="00336E7D"/>
    <w:rsid w:val="00337122"/>
    <w:rsid w:val="00337DBD"/>
    <w:rsid w:val="00337FD4"/>
    <w:rsid w:val="0034091D"/>
    <w:rsid w:val="00340BD7"/>
    <w:rsid w:val="00340E54"/>
    <w:rsid w:val="00341528"/>
    <w:rsid w:val="00341D7A"/>
    <w:rsid w:val="00342058"/>
    <w:rsid w:val="0034434A"/>
    <w:rsid w:val="003443ED"/>
    <w:rsid w:val="00344592"/>
    <w:rsid w:val="00344C4B"/>
    <w:rsid w:val="00344E9C"/>
    <w:rsid w:val="00345346"/>
    <w:rsid w:val="00345B69"/>
    <w:rsid w:val="003463A5"/>
    <w:rsid w:val="0034683D"/>
    <w:rsid w:val="0034754E"/>
    <w:rsid w:val="00347B8C"/>
    <w:rsid w:val="00347DDE"/>
    <w:rsid w:val="00347E18"/>
    <w:rsid w:val="0035059D"/>
    <w:rsid w:val="003505CB"/>
    <w:rsid w:val="00350874"/>
    <w:rsid w:val="003510A1"/>
    <w:rsid w:val="00351385"/>
    <w:rsid w:val="00351622"/>
    <w:rsid w:val="00351A53"/>
    <w:rsid w:val="00351FA6"/>
    <w:rsid w:val="003528CC"/>
    <w:rsid w:val="003529B9"/>
    <w:rsid w:val="003538D7"/>
    <w:rsid w:val="00355ECD"/>
    <w:rsid w:val="003561CC"/>
    <w:rsid w:val="00356956"/>
    <w:rsid w:val="003569CE"/>
    <w:rsid w:val="00357294"/>
    <w:rsid w:val="003573F5"/>
    <w:rsid w:val="003576D9"/>
    <w:rsid w:val="00357826"/>
    <w:rsid w:val="003603C5"/>
    <w:rsid w:val="003609FE"/>
    <w:rsid w:val="00360A9B"/>
    <w:rsid w:val="00360EFE"/>
    <w:rsid w:val="00361D41"/>
    <w:rsid w:val="00362441"/>
    <w:rsid w:val="00362460"/>
    <w:rsid w:val="00362839"/>
    <w:rsid w:val="00362845"/>
    <w:rsid w:val="0036294D"/>
    <w:rsid w:val="003631A4"/>
    <w:rsid w:val="00363899"/>
    <w:rsid w:val="003638CF"/>
    <w:rsid w:val="003639B8"/>
    <w:rsid w:val="00363A62"/>
    <w:rsid w:val="00363B77"/>
    <w:rsid w:val="00363D42"/>
    <w:rsid w:val="00363D70"/>
    <w:rsid w:val="003647C9"/>
    <w:rsid w:val="00364FD9"/>
    <w:rsid w:val="00365A49"/>
    <w:rsid w:val="00366464"/>
    <w:rsid w:val="00366889"/>
    <w:rsid w:val="00366FB2"/>
    <w:rsid w:val="00367C76"/>
    <w:rsid w:val="0037018A"/>
    <w:rsid w:val="00370B75"/>
    <w:rsid w:val="00370C2E"/>
    <w:rsid w:val="00371370"/>
    <w:rsid w:val="003715FA"/>
    <w:rsid w:val="003717FD"/>
    <w:rsid w:val="0037182C"/>
    <w:rsid w:val="00371E04"/>
    <w:rsid w:val="003728E8"/>
    <w:rsid w:val="00372A42"/>
    <w:rsid w:val="00373166"/>
    <w:rsid w:val="0037394C"/>
    <w:rsid w:val="00373B0F"/>
    <w:rsid w:val="003746F5"/>
    <w:rsid w:val="00374C73"/>
    <w:rsid w:val="00374D33"/>
    <w:rsid w:val="00374D9E"/>
    <w:rsid w:val="00374E4F"/>
    <w:rsid w:val="00374F35"/>
    <w:rsid w:val="00375273"/>
    <w:rsid w:val="00375292"/>
    <w:rsid w:val="0037534F"/>
    <w:rsid w:val="0037542F"/>
    <w:rsid w:val="00375865"/>
    <w:rsid w:val="00375AEA"/>
    <w:rsid w:val="0037678C"/>
    <w:rsid w:val="00377009"/>
    <w:rsid w:val="00377077"/>
    <w:rsid w:val="00377558"/>
    <w:rsid w:val="00377628"/>
    <w:rsid w:val="00377894"/>
    <w:rsid w:val="00377A33"/>
    <w:rsid w:val="00380A00"/>
    <w:rsid w:val="00380DD6"/>
    <w:rsid w:val="00381229"/>
    <w:rsid w:val="0038171D"/>
    <w:rsid w:val="003817A1"/>
    <w:rsid w:val="00381D08"/>
    <w:rsid w:val="00381F27"/>
    <w:rsid w:val="0038320B"/>
    <w:rsid w:val="0038391D"/>
    <w:rsid w:val="00383BAE"/>
    <w:rsid w:val="00383BEE"/>
    <w:rsid w:val="00383E4D"/>
    <w:rsid w:val="003842DD"/>
    <w:rsid w:val="0038431C"/>
    <w:rsid w:val="003843FA"/>
    <w:rsid w:val="00384509"/>
    <w:rsid w:val="00384626"/>
    <w:rsid w:val="00384A0E"/>
    <w:rsid w:val="00384A4F"/>
    <w:rsid w:val="00384D2D"/>
    <w:rsid w:val="00385B5B"/>
    <w:rsid w:val="00385D46"/>
    <w:rsid w:val="003873D8"/>
    <w:rsid w:val="00387BE3"/>
    <w:rsid w:val="00387FDA"/>
    <w:rsid w:val="00390044"/>
    <w:rsid w:val="003901D0"/>
    <w:rsid w:val="00391669"/>
    <w:rsid w:val="0039174B"/>
    <w:rsid w:val="00391E72"/>
    <w:rsid w:val="00391F25"/>
    <w:rsid w:val="00391FD9"/>
    <w:rsid w:val="00392187"/>
    <w:rsid w:val="00392971"/>
    <w:rsid w:val="0039334E"/>
    <w:rsid w:val="00393A37"/>
    <w:rsid w:val="00394288"/>
    <w:rsid w:val="0039498B"/>
    <w:rsid w:val="00394D84"/>
    <w:rsid w:val="00394EC9"/>
    <w:rsid w:val="00395064"/>
    <w:rsid w:val="00395159"/>
    <w:rsid w:val="00395652"/>
    <w:rsid w:val="00395852"/>
    <w:rsid w:val="00395C5E"/>
    <w:rsid w:val="00396047"/>
    <w:rsid w:val="003970D4"/>
    <w:rsid w:val="0039796A"/>
    <w:rsid w:val="00397986"/>
    <w:rsid w:val="00397AD2"/>
    <w:rsid w:val="003A08C1"/>
    <w:rsid w:val="003A0F6B"/>
    <w:rsid w:val="003A1554"/>
    <w:rsid w:val="003A18BE"/>
    <w:rsid w:val="003A244F"/>
    <w:rsid w:val="003A285F"/>
    <w:rsid w:val="003A2EB7"/>
    <w:rsid w:val="003A3603"/>
    <w:rsid w:val="003A42CD"/>
    <w:rsid w:val="003A4ADF"/>
    <w:rsid w:val="003A5187"/>
    <w:rsid w:val="003A6015"/>
    <w:rsid w:val="003A65EA"/>
    <w:rsid w:val="003B0193"/>
    <w:rsid w:val="003B06AA"/>
    <w:rsid w:val="003B09EB"/>
    <w:rsid w:val="003B13C0"/>
    <w:rsid w:val="003B1620"/>
    <w:rsid w:val="003B20F4"/>
    <w:rsid w:val="003B381C"/>
    <w:rsid w:val="003B4E85"/>
    <w:rsid w:val="003B5279"/>
    <w:rsid w:val="003B5CB7"/>
    <w:rsid w:val="003B68FF"/>
    <w:rsid w:val="003B6CF9"/>
    <w:rsid w:val="003B725D"/>
    <w:rsid w:val="003B747B"/>
    <w:rsid w:val="003B758B"/>
    <w:rsid w:val="003B7830"/>
    <w:rsid w:val="003C0DE2"/>
    <w:rsid w:val="003C1394"/>
    <w:rsid w:val="003C16EF"/>
    <w:rsid w:val="003C1873"/>
    <w:rsid w:val="003C1E16"/>
    <w:rsid w:val="003C23D9"/>
    <w:rsid w:val="003C2967"/>
    <w:rsid w:val="003C2DBA"/>
    <w:rsid w:val="003C2FCE"/>
    <w:rsid w:val="003C3446"/>
    <w:rsid w:val="003C3D28"/>
    <w:rsid w:val="003C42DF"/>
    <w:rsid w:val="003C50FE"/>
    <w:rsid w:val="003C56FA"/>
    <w:rsid w:val="003C5785"/>
    <w:rsid w:val="003C5ADB"/>
    <w:rsid w:val="003C5D00"/>
    <w:rsid w:val="003C5D06"/>
    <w:rsid w:val="003C6B7D"/>
    <w:rsid w:val="003C6E2E"/>
    <w:rsid w:val="003C7296"/>
    <w:rsid w:val="003C7651"/>
    <w:rsid w:val="003C78E0"/>
    <w:rsid w:val="003C7AD0"/>
    <w:rsid w:val="003C7CBF"/>
    <w:rsid w:val="003D02AC"/>
    <w:rsid w:val="003D0508"/>
    <w:rsid w:val="003D06AF"/>
    <w:rsid w:val="003D1635"/>
    <w:rsid w:val="003D1A06"/>
    <w:rsid w:val="003D30D0"/>
    <w:rsid w:val="003D30ED"/>
    <w:rsid w:val="003D32AB"/>
    <w:rsid w:val="003D3387"/>
    <w:rsid w:val="003D380B"/>
    <w:rsid w:val="003D3D1D"/>
    <w:rsid w:val="003D4E4F"/>
    <w:rsid w:val="003D5588"/>
    <w:rsid w:val="003D6152"/>
    <w:rsid w:val="003D6CDD"/>
    <w:rsid w:val="003D740D"/>
    <w:rsid w:val="003D779F"/>
    <w:rsid w:val="003D7968"/>
    <w:rsid w:val="003D79EB"/>
    <w:rsid w:val="003D7D74"/>
    <w:rsid w:val="003D7EB1"/>
    <w:rsid w:val="003D7F2C"/>
    <w:rsid w:val="003E0267"/>
    <w:rsid w:val="003E0469"/>
    <w:rsid w:val="003E0AE6"/>
    <w:rsid w:val="003E0F08"/>
    <w:rsid w:val="003E18EA"/>
    <w:rsid w:val="003E1F6F"/>
    <w:rsid w:val="003E1FCA"/>
    <w:rsid w:val="003E2356"/>
    <w:rsid w:val="003E2625"/>
    <w:rsid w:val="003E2BA0"/>
    <w:rsid w:val="003E2E5D"/>
    <w:rsid w:val="003E3F94"/>
    <w:rsid w:val="003E5662"/>
    <w:rsid w:val="003E5803"/>
    <w:rsid w:val="003E5A13"/>
    <w:rsid w:val="003E5F08"/>
    <w:rsid w:val="003E64DE"/>
    <w:rsid w:val="003E6983"/>
    <w:rsid w:val="003E6D99"/>
    <w:rsid w:val="003E6E1F"/>
    <w:rsid w:val="003E7092"/>
    <w:rsid w:val="003E7436"/>
    <w:rsid w:val="003E7773"/>
    <w:rsid w:val="003F058F"/>
    <w:rsid w:val="003F1E46"/>
    <w:rsid w:val="003F2E40"/>
    <w:rsid w:val="003F315B"/>
    <w:rsid w:val="003F3B13"/>
    <w:rsid w:val="003F3DF0"/>
    <w:rsid w:val="003F4410"/>
    <w:rsid w:val="003F44A4"/>
    <w:rsid w:val="003F46B2"/>
    <w:rsid w:val="003F4824"/>
    <w:rsid w:val="003F4E6D"/>
    <w:rsid w:val="003F5580"/>
    <w:rsid w:val="003F5C97"/>
    <w:rsid w:val="003F5DB6"/>
    <w:rsid w:val="003F62FA"/>
    <w:rsid w:val="003F63F4"/>
    <w:rsid w:val="003F64EC"/>
    <w:rsid w:val="003F6512"/>
    <w:rsid w:val="003F6631"/>
    <w:rsid w:val="003F75E5"/>
    <w:rsid w:val="003F7854"/>
    <w:rsid w:val="003F79EE"/>
    <w:rsid w:val="003F7B14"/>
    <w:rsid w:val="003F7D24"/>
    <w:rsid w:val="004003A3"/>
    <w:rsid w:val="00401CCD"/>
    <w:rsid w:val="004022A3"/>
    <w:rsid w:val="004023B8"/>
    <w:rsid w:val="00402720"/>
    <w:rsid w:val="00402A8D"/>
    <w:rsid w:val="00403453"/>
    <w:rsid w:val="0040359B"/>
    <w:rsid w:val="00403C5E"/>
    <w:rsid w:val="00403E25"/>
    <w:rsid w:val="0040465B"/>
    <w:rsid w:val="004049EC"/>
    <w:rsid w:val="00404B23"/>
    <w:rsid w:val="0040557A"/>
    <w:rsid w:val="004055EA"/>
    <w:rsid w:val="004062E3"/>
    <w:rsid w:val="00406EAE"/>
    <w:rsid w:val="00407D89"/>
    <w:rsid w:val="00407EAE"/>
    <w:rsid w:val="004102D9"/>
    <w:rsid w:val="004113A0"/>
    <w:rsid w:val="00411B3A"/>
    <w:rsid w:val="00411C41"/>
    <w:rsid w:val="00411F03"/>
    <w:rsid w:val="00411F95"/>
    <w:rsid w:val="004120AB"/>
    <w:rsid w:val="00412977"/>
    <w:rsid w:val="00412AA9"/>
    <w:rsid w:val="00412C8D"/>
    <w:rsid w:val="00413019"/>
    <w:rsid w:val="00413024"/>
    <w:rsid w:val="00413470"/>
    <w:rsid w:val="004138D2"/>
    <w:rsid w:val="00413F0C"/>
    <w:rsid w:val="0041430C"/>
    <w:rsid w:val="00414498"/>
    <w:rsid w:val="00414691"/>
    <w:rsid w:val="00414DE2"/>
    <w:rsid w:val="004156F9"/>
    <w:rsid w:val="00415924"/>
    <w:rsid w:val="00415B58"/>
    <w:rsid w:val="00415D39"/>
    <w:rsid w:val="00416022"/>
    <w:rsid w:val="004160AE"/>
    <w:rsid w:val="00416C93"/>
    <w:rsid w:val="00416E26"/>
    <w:rsid w:val="00417A2D"/>
    <w:rsid w:val="00417E0E"/>
    <w:rsid w:val="00417FC6"/>
    <w:rsid w:val="0042034F"/>
    <w:rsid w:val="00420D1F"/>
    <w:rsid w:val="00420E6E"/>
    <w:rsid w:val="00421053"/>
    <w:rsid w:val="004215C4"/>
    <w:rsid w:val="00421B03"/>
    <w:rsid w:val="00421C5E"/>
    <w:rsid w:val="00422F0A"/>
    <w:rsid w:val="00423208"/>
    <w:rsid w:val="00423FA8"/>
    <w:rsid w:val="0042425F"/>
    <w:rsid w:val="0042481B"/>
    <w:rsid w:val="00424EBA"/>
    <w:rsid w:val="0042502A"/>
    <w:rsid w:val="00425380"/>
    <w:rsid w:val="004257D4"/>
    <w:rsid w:val="00425B59"/>
    <w:rsid w:val="00425E46"/>
    <w:rsid w:val="00426007"/>
    <w:rsid w:val="0042602C"/>
    <w:rsid w:val="004274AB"/>
    <w:rsid w:val="004275A2"/>
    <w:rsid w:val="004278F1"/>
    <w:rsid w:val="00427EA7"/>
    <w:rsid w:val="004303E0"/>
    <w:rsid w:val="0043110E"/>
    <w:rsid w:val="004311B3"/>
    <w:rsid w:val="0043156A"/>
    <w:rsid w:val="00431C50"/>
    <w:rsid w:val="00431C79"/>
    <w:rsid w:val="00431FA9"/>
    <w:rsid w:val="00432E68"/>
    <w:rsid w:val="0043492C"/>
    <w:rsid w:val="00434AC0"/>
    <w:rsid w:val="00434D91"/>
    <w:rsid w:val="00435108"/>
    <w:rsid w:val="00435AA5"/>
    <w:rsid w:val="004368EE"/>
    <w:rsid w:val="00436B57"/>
    <w:rsid w:val="0043703F"/>
    <w:rsid w:val="00437350"/>
    <w:rsid w:val="004376B3"/>
    <w:rsid w:val="004377EC"/>
    <w:rsid w:val="0044024B"/>
    <w:rsid w:val="00440327"/>
    <w:rsid w:val="004404D1"/>
    <w:rsid w:val="004405D0"/>
    <w:rsid w:val="0044073E"/>
    <w:rsid w:val="00441F8C"/>
    <w:rsid w:val="0044210E"/>
    <w:rsid w:val="0044253B"/>
    <w:rsid w:val="00442821"/>
    <w:rsid w:val="004431BE"/>
    <w:rsid w:val="004433BA"/>
    <w:rsid w:val="00443B49"/>
    <w:rsid w:val="00443C36"/>
    <w:rsid w:val="004442D4"/>
    <w:rsid w:val="00444AA8"/>
    <w:rsid w:val="0044512B"/>
    <w:rsid w:val="0044545E"/>
    <w:rsid w:val="004454C9"/>
    <w:rsid w:val="00445C84"/>
    <w:rsid w:val="00446081"/>
    <w:rsid w:val="00446084"/>
    <w:rsid w:val="0044659E"/>
    <w:rsid w:val="00447205"/>
    <w:rsid w:val="004475D1"/>
    <w:rsid w:val="00447DAF"/>
    <w:rsid w:val="00447F50"/>
    <w:rsid w:val="00447F9D"/>
    <w:rsid w:val="00450038"/>
    <w:rsid w:val="00450E85"/>
    <w:rsid w:val="0045170A"/>
    <w:rsid w:val="0045204C"/>
    <w:rsid w:val="00452A73"/>
    <w:rsid w:val="00452CDD"/>
    <w:rsid w:val="00452D04"/>
    <w:rsid w:val="00452EAD"/>
    <w:rsid w:val="00452F9F"/>
    <w:rsid w:val="004530A9"/>
    <w:rsid w:val="00453587"/>
    <w:rsid w:val="0045381D"/>
    <w:rsid w:val="00453BF9"/>
    <w:rsid w:val="00453CEF"/>
    <w:rsid w:val="00453D8B"/>
    <w:rsid w:val="004541C2"/>
    <w:rsid w:val="00454C7A"/>
    <w:rsid w:val="004550F7"/>
    <w:rsid w:val="004552F7"/>
    <w:rsid w:val="0045533B"/>
    <w:rsid w:val="00455405"/>
    <w:rsid w:val="00455984"/>
    <w:rsid w:val="00455A3C"/>
    <w:rsid w:val="004562AE"/>
    <w:rsid w:val="00456805"/>
    <w:rsid w:val="00457263"/>
    <w:rsid w:val="00460247"/>
    <w:rsid w:val="0046095E"/>
    <w:rsid w:val="00462A07"/>
    <w:rsid w:val="004634AF"/>
    <w:rsid w:val="0046361C"/>
    <w:rsid w:val="00464A21"/>
    <w:rsid w:val="00464FE2"/>
    <w:rsid w:val="00465742"/>
    <w:rsid w:val="00465936"/>
    <w:rsid w:val="00465C99"/>
    <w:rsid w:val="00465E65"/>
    <w:rsid w:val="00466397"/>
    <w:rsid w:val="0046756A"/>
    <w:rsid w:val="00467C69"/>
    <w:rsid w:val="004701FC"/>
    <w:rsid w:val="004702D4"/>
    <w:rsid w:val="00471A31"/>
    <w:rsid w:val="00471FAF"/>
    <w:rsid w:val="00472025"/>
    <w:rsid w:val="00472E85"/>
    <w:rsid w:val="0047340D"/>
    <w:rsid w:val="004739B9"/>
    <w:rsid w:val="00473EA8"/>
    <w:rsid w:val="00473ED3"/>
    <w:rsid w:val="004744F4"/>
    <w:rsid w:val="00474ADB"/>
    <w:rsid w:val="00474B77"/>
    <w:rsid w:val="004752D2"/>
    <w:rsid w:val="0047555D"/>
    <w:rsid w:val="00475652"/>
    <w:rsid w:val="004762E7"/>
    <w:rsid w:val="004764A0"/>
    <w:rsid w:val="00476AA6"/>
    <w:rsid w:val="00477719"/>
    <w:rsid w:val="00480147"/>
    <w:rsid w:val="004802B1"/>
    <w:rsid w:val="00480F10"/>
    <w:rsid w:val="00481664"/>
    <w:rsid w:val="0048168F"/>
    <w:rsid w:val="0048204E"/>
    <w:rsid w:val="00482826"/>
    <w:rsid w:val="00482844"/>
    <w:rsid w:val="00482C1B"/>
    <w:rsid w:val="00483B2B"/>
    <w:rsid w:val="00484140"/>
    <w:rsid w:val="0048439C"/>
    <w:rsid w:val="00484725"/>
    <w:rsid w:val="004847A2"/>
    <w:rsid w:val="00484B23"/>
    <w:rsid w:val="00485417"/>
    <w:rsid w:val="00485707"/>
    <w:rsid w:val="00485CA6"/>
    <w:rsid w:val="0048653F"/>
    <w:rsid w:val="00486A05"/>
    <w:rsid w:val="00486A68"/>
    <w:rsid w:val="00486A83"/>
    <w:rsid w:val="00486B6F"/>
    <w:rsid w:val="00486DF8"/>
    <w:rsid w:val="004871FC"/>
    <w:rsid w:val="004872D4"/>
    <w:rsid w:val="00487D9D"/>
    <w:rsid w:val="00490C2E"/>
    <w:rsid w:val="00491580"/>
    <w:rsid w:val="00491C7D"/>
    <w:rsid w:val="00491E5B"/>
    <w:rsid w:val="00491F10"/>
    <w:rsid w:val="004920D3"/>
    <w:rsid w:val="004921EC"/>
    <w:rsid w:val="00492278"/>
    <w:rsid w:val="00493842"/>
    <w:rsid w:val="00493BEA"/>
    <w:rsid w:val="00493EBE"/>
    <w:rsid w:val="00494711"/>
    <w:rsid w:val="004949A7"/>
    <w:rsid w:val="00494C47"/>
    <w:rsid w:val="00494DF1"/>
    <w:rsid w:val="004951E5"/>
    <w:rsid w:val="00495672"/>
    <w:rsid w:val="00495C76"/>
    <w:rsid w:val="00496320"/>
    <w:rsid w:val="0049654B"/>
    <w:rsid w:val="00496C50"/>
    <w:rsid w:val="004972EF"/>
    <w:rsid w:val="004A0378"/>
    <w:rsid w:val="004A03F1"/>
    <w:rsid w:val="004A06F9"/>
    <w:rsid w:val="004A1842"/>
    <w:rsid w:val="004A1CF8"/>
    <w:rsid w:val="004A1F81"/>
    <w:rsid w:val="004A2342"/>
    <w:rsid w:val="004A3383"/>
    <w:rsid w:val="004A37C3"/>
    <w:rsid w:val="004A3A13"/>
    <w:rsid w:val="004A4140"/>
    <w:rsid w:val="004A4D28"/>
    <w:rsid w:val="004A4D8B"/>
    <w:rsid w:val="004A4EE3"/>
    <w:rsid w:val="004A52CC"/>
    <w:rsid w:val="004A52F8"/>
    <w:rsid w:val="004A57A3"/>
    <w:rsid w:val="004A631F"/>
    <w:rsid w:val="004A65A0"/>
    <w:rsid w:val="004A7E54"/>
    <w:rsid w:val="004A7FA6"/>
    <w:rsid w:val="004B034B"/>
    <w:rsid w:val="004B0E3E"/>
    <w:rsid w:val="004B13B0"/>
    <w:rsid w:val="004B18DC"/>
    <w:rsid w:val="004B21EA"/>
    <w:rsid w:val="004B2221"/>
    <w:rsid w:val="004B233F"/>
    <w:rsid w:val="004B3799"/>
    <w:rsid w:val="004B3C4F"/>
    <w:rsid w:val="004B3DAB"/>
    <w:rsid w:val="004B4212"/>
    <w:rsid w:val="004B4767"/>
    <w:rsid w:val="004B4984"/>
    <w:rsid w:val="004B4B00"/>
    <w:rsid w:val="004B5858"/>
    <w:rsid w:val="004B5EC2"/>
    <w:rsid w:val="004B6B3C"/>
    <w:rsid w:val="004B6C6C"/>
    <w:rsid w:val="004B6C7B"/>
    <w:rsid w:val="004B6DD8"/>
    <w:rsid w:val="004B7DE7"/>
    <w:rsid w:val="004C02AC"/>
    <w:rsid w:val="004C0408"/>
    <w:rsid w:val="004C0BE8"/>
    <w:rsid w:val="004C0D35"/>
    <w:rsid w:val="004C1052"/>
    <w:rsid w:val="004C1396"/>
    <w:rsid w:val="004C154B"/>
    <w:rsid w:val="004C2B89"/>
    <w:rsid w:val="004C3C43"/>
    <w:rsid w:val="004C43E0"/>
    <w:rsid w:val="004C5074"/>
    <w:rsid w:val="004C50E7"/>
    <w:rsid w:val="004C52CB"/>
    <w:rsid w:val="004C53B5"/>
    <w:rsid w:val="004C5A3B"/>
    <w:rsid w:val="004C606C"/>
    <w:rsid w:val="004C615B"/>
    <w:rsid w:val="004C618A"/>
    <w:rsid w:val="004C6E8A"/>
    <w:rsid w:val="004C716C"/>
    <w:rsid w:val="004C7B09"/>
    <w:rsid w:val="004D006D"/>
    <w:rsid w:val="004D055D"/>
    <w:rsid w:val="004D0ED4"/>
    <w:rsid w:val="004D0F20"/>
    <w:rsid w:val="004D0FEC"/>
    <w:rsid w:val="004D1238"/>
    <w:rsid w:val="004D124C"/>
    <w:rsid w:val="004D12B9"/>
    <w:rsid w:val="004D158C"/>
    <w:rsid w:val="004D195B"/>
    <w:rsid w:val="004D1F3B"/>
    <w:rsid w:val="004D1FC6"/>
    <w:rsid w:val="004D285F"/>
    <w:rsid w:val="004D2CD7"/>
    <w:rsid w:val="004D33C5"/>
    <w:rsid w:val="004D3606"/>
    <w:rsid w:val="004D3A1F"/>
    <w:rsid w:val="004D3C4E"/>
    <w:rsid w:val="004D40D4"/>
    <w:rsid w:val="004D42CC"/>
    <w:rsid w:val="004D4473"/>
    <w:rsid w:val="004D5040"/>
    <w:rsid w:val="004D506D"/>
    <w:rsid w:val="004D509A"/>
    <w:rsid w:val="004D5525"/>
    <w:rsid w:val="004D59AF"/>
    <w:rsid w:val="004D6E5B"/>
    <w:rsid w:val="004D7317"/>
    <w:rsid w:val="004D73E3"/>
    <w:rsid w:val="004E03B7"/>
    <w:rsid w:val="004E04E2"/>
    <w:rsid w:val="004E051C"/>
    <w:rsid w:val="004E06F4"/>
    <w:rsid w:val="004E0D07"/>
    <w:rsid w:val="004E119E"/>
    <w:rsid w:val="004E195F"/>
    <w:rsid w:val="004E2B83"/>
    <w:rsid w:val="004E2E54"/>
    <w:rsid w:val="004E2E5B"/>
    <w:rsid w:val="004E3139"/>
    <w:rsid w:val="004E325B"/>
    <w:rsid w:val="004E3880"/>
    <w:rsid w:val="004E3BE1"/>
    <w:rsid w:val="004E4596"/>
    <w:rsid w:val="004E48AC"/>
    <w:rsid w:val="004E4CD7"/>
    <w:rsid w:val="004E5076"/>
    <w:rsid w:val="004E579B"/>
    <w:rsid w:val="004E5C5D"/>
    <w:rsid w:val="004E6003"/>
    <w:rsid w:val="004E6225"/>
    <w:rsid w:val="004E6A99"/>
    <w:rsid w:val="004E6F02"/>
    <w:rsid w:val="004E7130"/>
    <w:rsid w:val="004E7423"/>
    <w:rsid w:val="004F0295"/>
    <w:rsid w:val="004F032A"/>
    <w:rsid w:val="004F061B"/>
    <w:rsid w:val="004F0E63"/>
    <w:rsid w:val="004F12F1"/>
    <w:rsid w:val="004F28A2"/>
    <w:rsid w:val="004F2AD1"/>
    <w:rsid w:val="004F2BD1"/>
    <w:rsid w:val="004F3481"/>
    <w:rsid w:val="004F35EE"/>
    <w:rsid w:val="004F35F9"/>
    <w:rsid w:val="004F3E8D"/>
    <w:rsid w:val="004F4BB1"/>
    <w:rsid w:val="004F55DD"/>
    <w:rsid w:val="004F5888"/>
    <w:rsid w:val="004F5918"/>
    <w:rsid w:val="004F5A8B"/>
    <w:rsid w:val="004F5AAA"/>
    <w:rsid w:val="004F5DF5"/>
    <w:rsid w:val="004F5FDC"/>
    <w:rsid w:val="004F6031"/>
    <w:rsid w:val="004F6A0E"/>
    <w:rsid w:val="004F74D2"/>
    <w:rsid w:val="0050031D"/>
    <w:rsid w:val="0050090C"/>
    <w:rsid w:val="00501001"/>
    <w:rsid w:val="005014E8"/>
    <w:rsid w:val="005016C5"/>
    <w:rsid w:val="00501FB6"/>
    <w:rsid w:val="00502030"/>
    <w:rsid w:val="0050220E"/>
    <w:rsid w:val="00502227"/>
    <w:rsid w:val="005023EE"/>
    <w:rsid w:val="00502560"/>
    <w:rsid w:val="005028EC"/>
    <w:rsid w:val="00502E8E"/>
    <w:rsid w:val="00502F24"/>
    <w:rsid w:val="005032FE"/>
    <w:rsid w:val="005038C3"/>
    <w:rsid w:val="005040E7"/>
    <w:rsid w:val="005047AC"/>
    <w:rsid w:val="00504872"/>
    <w:rsid w:val="00504AD3"/>
    <w:rsid w:val="0050520C"/>
    <w:rsid w:val="005053B0"/>
    <w:rsid w:val="0050557C"/>
    <w:rsid w:val="00505AAA"/>
    <w:rsid w:val="00506A4D"/>
    <w:rsid w:val="005075BE"/>
    <w:rsid w:val="0050799D"/>
    <w:rsid w:val="00510C20"/>
    <w:rsid w:val="00510EA8"/>
    <w:rsid w:val="00511748"/>
    <w:rsid w:val="00511A32"/>
    <w:rsid w:val="00512AF3"/>
    <w:rsid w:val="00512CE3"/>
    <w:rsid w:val="0051395F"/>
    <w:rsid w:val="00514507"/>
    <w:rsid w:val="0051486E"/>
    <w:rsid w:val="00514907"/>
    <w:rsid w:val="00514BF5"/>
    <w:rsid w:val="00514F1B"/>
    <w:rsid w:val="0051595A"/>
    <w:rsid w:val="005166CE"/>
    <w:rsid w:val="00517831"/>
    <w:rsid w:val="00517B1F"/>
    <w:rsid w:val="00517B92"/>
    <w:rsid w:val="00517DB1"/>
    <w:rsid w:val="005201C8"/>
    <w:rsid w:val="00520360"/>
    <w:rsid w:val="005203A1"/>
    <w:rsid w:val="00521474"/>
    <w:rsid w:val="00521771"/>
    <w:rsid w:val="0052195D"/>
    <w:rsid w:val="005225BA"/>
    <w:rsid w:val="00522958"/>
    <w:rsid w:val="00522969"/>
    <w:rsid w:val="00523B3D"/>
    <w:rsid w:val="005241E5"/>
    <w:rsid w:val="005244F7"/>
    <w:rsid w:val="005245BA"/>
    <w:rsid w:val="005246AF"/>
    <w:rsid w:val="00524A61"/>
    <w:rsid w:val="00525683"/>
    <w:rsid w:val="005264B9"/>
    <w:rsid w:val="0052665D"/>
    <w:rsid w:val="00526FB2"/>
    <w:rsid w:val="005273E0"/>
    <w:rsid w:val="005274CE"/>
    <w:rsid w:val="00527FA4"/>
    <w:rsid w:val="00530AE7"/>
    <w:rsid w:val="00530B0F"/>
    <w:rsid w:val="00530C03"/>
    <w:rsid w:val="00531131"/>
    <w:rsid w:val="005315B8"/>
    <w:rsid w:val="005317B6"/>
    <w:rsid w:val="00531F4F"/>
    <w:rsid w:val="00532A47"/>
    <w:rsid w:val="00532C68"/>
    <w:rsid w:val="00533301"/>
    <w:rsid w:val="00533C67"/>
    <w:rsid w:val="005345B0"/>
    <w:rsid w:val="005362A1"/>
    <w:rsid w:val="0053664B"/>
    <w:rsid w:val="00537258"/>
    <w:rsid w:val="00537562"/>
    <w:rsid w:val="00537894"/>
    <w:rsid w:val="00537F93"/>
    <w:rsid w:val="005400AD"/>
    <w:rsid w:val="005406D6"/>
    <w:rsid w:val="0054070F"/>
    <w:rsid w:val="00540AE7"/>
    <w:rsid w:val="00540E5B"/>
    <w:rsid w:val="00540EE3"/>
    <w:rsid w:val="0054102F"/>
    <w:rsid w:val="00541045"/>
    <w:rsid w:val="00541375"/>
    <w:rsid w:val="00541931"/>
    <w:rsid w:val="00541C37"/>
    <w:rsid w:val="00541FB1"/>
    <w:rsid w:val="00542997"/>
    <w:rsid w:val="0054348E"/>
    <w:rsid w:val="00543BE9"/>
    <w:rsid w:val="00543F45"/>
    <w:rsid w:val="00544BD7"/>
    <w:rsid w:val="005457F8"/>
    <w:rsid w:val="00546818"/>
    <w:rsid w:val="00546DC3"/>
    <w:rsid w:val="00547027"/>
    <w:rsid w:val="005470D5"/>
    <w:rsid w:val="00547399"/>
    <w:rsid w:val="00550979"/>
    <w:rsid w:val="00550ADF"/>
    <w:rsid w:val="00550AED"/>
    <w:rsid w:val="005514DA"/>
    <w:rsid w:val="005515A4"/>
    <w:rsid w:val="00552372"/>
    <w:rsid w:val="00552448"/>
    <w:rsid w:val="00552539"/>
    <w:rsid w:val="00552719"/>
    <w:rsid w:val="00552A45"/>
    <w:rsid w:val="00552B9E"/>
    <w:rsid w:val="00552D2B"/>
    <w:rsid w:val="00552EEE"/>
    <w:rsid w:val="00552FB1"/>
    <w:rsid w:val="00553949"/>
    <w:rsid w:val="00553AAF"/>
    <w:rsid w:val="00553BD7"/>
    <w:rsid w:val="00553D24"/>
    <w:rsid w:val="00553F6B"/>
    <w:rsid w:val="0055408D"/>
    <w:rsid w:val="005542CE"/>
    <w:rsid w:val="0055476E"/>
    <w:rsid w:val="005565B5"/>
    <w:rsid w:val="00556673"/>
    <w:rsid w:val="005569A6"/>
    <w:rsid w:val="00556B6B"/>
    <w:rsid w:val="00556B84"/>
    <w:rsid w:val="005578CA"/>
    <w:rsid w:val="00557F71"/>
    <w:rsid w:val="0056013B"/>
    <w:rsid w:val="0056026C"/>
    <w:rsid w:val="005605E4"/>
    <w:rsid w:val="005606E8"/>
    <w:rsid w:val="00560FCC"/>
    <w:rsid w:val="005613B2"/>
    <w:rsid w:val="005614BA"/>
    <w:rsid w:val="00561CCA"/>
    <w:rsid w:val="00561EAE"/>
    <w:rsid w:val="00562180"/>
    <w:rsid w:val="005628E1"/>
    <w:rsid w:val="00563644"/>
    <w:rsid w:val="00563ADC"/>
    <w:rsid w:val="00563DB2"/>
    <w:rsid w:val="00564986"/>
    <w:rsid w:val="00564B81"/>
    <w:rsid w:val="00564CC3"/>
    <w:rsid w:val="00564F39"/>
    <w:rsid w:val="0056504E"/>
    <w:rsid w:val="005650BD"/>
    <w:rsid w:val="00565BE8"/>
    <w:rsid w:val="00565E68"/>
    <w:rsid w:val="00566571"/>
    <w:rsid w:val="00567229"/>
    <w:rsid w:val="00567494"/>
    <w:rsid w:val="00567DDE"/>
    <w:rsid w:val="005704C4"/>
    <w:rsid w:val="005707E8"/>
    <w:rsid w:val="0057087D"/>
    <w:rsid w:val="00570952"/>
    <w:rsid w:val="005709C4"/>
    <w:rsid w:val="00570ABC"/>
    <w:rsid w:val="00571627"/>
    <w:rsid w:val="00571F3A"/>
    <w:rsid w:val="00572F98"/>
    <w:rsid w:val="00573029"/>
    <w:rsid w:val="005731EC"/>
    <w:rsid w:val="0057329B"/>
    <w:rsid w:val="005735D5"/>
    <w:rsid w:val="00573B71"/>
    <w:rsid w:val="00573DE6"/>
    <w:rsid w:val="005741CD"/>
    <w:rsid w:val="00574339"/>
    <w:rsid w:val="00574718"/>
    <w:rsid w:val="00574EE8"/>
    <w:rsid w:val="00575069"/>
    <w:rsid w:val="0057517A"/>
    <w:rsid w:val="005753AD"/>
    <w:rsid w:val="0057567C"/>
    <w:rsid w:val="005767E8"/>
    <w:rsid w:val="0057750E"/>
    <w:rsid w:val="00577C43"/>
    <w:rsid w:val="005802A5"/>
    <w:rsid w:val="0058061D"/>
    <w:rsid w:val="00580869"/>
    <w:rsid w:val="00580A78"/>
    <w:rsid w:val="0058125D"/>
    <w:rsid w:val="005819A6"/>
    <w:rsid w:val="005825DE"/>
    <w:rsid w:val="005826C6"/>
    <w:rsid w:val="00582A7E"/>
    <w:rsid w:val="00582D5D"/>
    <w:rsid w:val="005834FD"/>
    <w:rsid w:val="00584831"/>
    <w:rsid w:val="005851A1"/>
    <w:rsid w:val="00585448"/>
    <w:rsid w:val="00585967"/>
    <w:rsid w:val="00585A82"/>
    <w:rsid w:val="00585ACE"/>
    <w:rsid w:val="00585D50"/>
    <w:rsid w:val="0058679A"/>
    <w:rsid w:val="00587BD3"/>
    <w:rsid w:val="00591A14"/>
    <w:rsid w:val="005923FD"/>
    <w:rsid w:val="00592700"/>
    <w:rsid w:val="00592B09"/>
    <w:rsid w:val="00593503"/>
    <w:rsid w:val="0059405B"/>
    <w:rsid w:val="00594674"/>
    <w:rsid w:val="00595156"/>
    <w:rsid w:val="00595518"/>
    <w:rsid w:val="00596014"/>
    <w:rsid w:val="00596ADC"/>
    <w:rsid w:val="00596E4B"/>
    <w:rsid w:val="00596E66"/>
    <w:rsid w:val="00597140"/>
    <w:rsid w:val="0059721C"/>
    <w:rsid w:val="0059728E"/>
    <w:rsid w:val="0059736A"/>
    <w:rsid w:val="005974DE"/>
    <w:rsid w:val="005A0C25"/>
    <w:rsid w:val="005A0D16"/>
    <w:rsid w:val="005A0E70"/>
    <w:rsid w:val="005A1244"/>
    <w:rsid w:val="005A13A2"/>
    <w:rsid w:val="005A195F"/>
    <w:rsid w:val="005A1964"/>
    <w:rsid w:val="005A19B4"/>
    <w:rsid w:val="005A19C8"/>
    <w:rsid w:val="005A1B4E"/>
    <w:rsid w:val="005A217F"/>
    <w:rsid w:val="005A21A0"/>
    <w:rsid w:val="005A2B47"/>
    <w:rsid w:val="005A2C1C"/>
    <w:rsid w:val="005A2DCF"/>
    <w:rsid w:val="005A31C1"/>
    <w:rsid w:val="005A38E2"/>
    <w:rsid w:val="005A3B1A"/>
    <w:rsid w:val="005A3E04"/>
    <w:rsid w:val="005A66A6"/>
    <w:rsid w:val="005A66FE"/>
    <w:rsid w:val="005A6792"/>
    <w:rsid w:val="005A6C06"/>
    <w:rsid w:val="005A6F58"/>
    <w:rsid w:val="005A76E6"/>
    <w:rsid w:val="005A7966"/>
    <w:rsid w:val="005B06AB"/>
    <w:rsid w:val="005B163A"/>
    <w:rsid w:val="005B17DA"/>
    <w:rsid w:val="005B1B12"/>
    <w:rsid w:val="005B20FA"/>
    <w:rsid w:val="005B2355"/>
    <w:rsid w:val="005B25FE"/>
    <w:rsid w:val="005B2790"/>
    <w:rsid w:val="005B2E17"/>
    <w:rsid w:val="005B31A0"/>
    <w:rsid w:val="005B399D"/>
    <w:rsid w:val="005B3FEF"/>
    <w:rsid w:val="005B4647"/>
    <w:rsid w:val="005B4D6F"/>
    <w:rsid w:val="005B4EA4"/>
    <w:rsid w:val="005B4FB3"/>
    <w:rsid w:val="005B590F"/>
    <w:rsid w:val="005B5BDF"/>
    <w:rsid w:val="005B6351"/>
    <w:rsid w:val="005B64A8"/>
    <w:rsid w:val="005B6CA9"/>
    <w:rsid w:val="005B6DB4"/>
    <w:rsid w:val="005B75C0"/>
    <w:rsid w:val="005C0159"/>
    <w:rsid w:val="005C027D"/>
    <w:rsid w:val="005C0356"/>
    <w:rsid w:val="005C043A"/>
    <w:rsid w:val="005C09E7"/>
    <w:rsid w:val="005C0E83"/>
    <w:rsid w:val="005C16F3"/>
    <w:rsid w:val="005C235D"/>
    <w:rsid w:val="005C28E6"/>
    <w:rsid w:val="005C2DFD"/>
    <w:rsid w:val="005C3363"/>
    <w:rsid w:val="005C352D"/>
    <w:rsid w:val="005C3BF6"/>
    <w:rsid w:val="005C4C23"/>
    <w:rsid w:val="005C6290"/>
    <w:rsid w:val="005C66AE"/>
    <w:rsid w:val="005C6793"/>
    <w:rsid w:val="005C6BD8"/>
    <w:rsid w:val="005C6CE2"/>
    <w:rsid w:val="005C6F0C"/>
    <w:rsid w:val="005C7212"/>
    <w:rsid w:val="005C7D0F"/>
    <w:rsid w:val="005D0467"/>
    <w:rsid w:val="005D078F"/>
    <w:rsid w:val="005D0934"/>
    <w:rsid w:val="005D0DB1"/>
    <w:rsid w:val="005D0FBA"/>
    <w:rsid w:val="005D1733"/>
    <w:rsid w:val="005D1B01"/>
    <w:rsid w:val="005D1CE8"/>
    <w:rsid w:val="005D2B76"/>
    <w:rsid w:val="005D368A"/>
    <w:rsid w:val="005D3871"/>
    <w:rsid w:val="005D38D1"/>
    <w:rsid w:val="005D4133"/>
    <w:rsid w:val="005D4589"/>
    <w:rsid w:val="005D4778"/>
    <w:rsid w:val="005D4B8B"/>
    <w:rsid w:val="005D4BDA"/>
    <w:rsid w:val="005D5E9D"/>
    <w:rsid w:val="005D6E55"/>
    <w:rsid w:val="005E048E"/>
    <w:rsid w:val="005E07CF"/>
    <w:rsid w:val="005E0BA2"/>
    <w:rsid w:val="005E1C17"/>
    <w:rsid w:val="005E272F"/>
    <w:rsid w:val="005E2A4E"/>
    <w:rsid w:val="005E36C3"/>
    <w:rsid w:val="005E3876"/>
    <w:rsid w:val="005E3968"/>
    <w:rsid w:val="005E3A8A"/>
    <w:rsid w:val="005E40AB"/>
    <w:rsid w:val="005E449E"/>
    <w:rsid w:val="005E562A"/>
    <w:rsid w:val="005E6DEB"/>
    <w:rsid w:val="005E6DFE"/>
    <w:rsid w:val="005E7FE7"/>
    <w:rsid w:val="005F0275"/>
    <w:rsid w:val="005F14D7"/>
    <w:rsid w:val="005F2187"/>
    <w:rsid w:val="005F344F"/>
    <w:rsid w:val="005F476C"/>
    <w:rsid w:val="005F4797"/>
    <w:rsid w:val="005F4C2F"/>
    <w:rsid w:val="005F4E45"/>
    <w:rsid w:val="005F5B89"/>
    <w:rsid w:val="005F6592"/>
    <w:rsid w:val="005F69E3"/>
    <w:rsid w:val="005F7073"/>
    <w:rsid w:val="00601C9C"/>
    <w:rsid w:val="00601CC9"/>
    <w:rsid w:val="006026C3"/>
    <w:rsid w:val="0060278D"/>
    <w:rsid w:val="0060308A"/>
    <w:rsid w:val="00603FA0"/>
    <w:rsid w:val="0060415C"/>
    <w:rsid w:val="0060458B"/>
    <w:rsid w:val="00604856"/>
    <w:rsid w:val="00604B81"/>
    <w:rsid w:val="00605051"/>
    <w:rsid w:val="0060557B"/>
    <w:rsid w:val="006059D4"/>
    <w:rsid w:val="00606140"/>
    <w:rsid w:val="00606769"/>
    <w:rsid w:val="00606D21"/>
    <w:rsid w:val="00606D26"/>
    <w:rsid w:val="006074A8"/>
    <w:rsid w:val="006076A7"/>
    <w:rsid w:val="00607A28"/>
    <w:rsid w:val="00607DAD"/>
    <w:rsid w:val="00607FDD"/>
    <w:rsid w:val="00610A9D"/>
    <w:rsid w:val="00610BBA"/>
    <w:rsid w:val="00610F1A"/>
    <w:rsid w:val="00611316"/>
    <w:rsid w:val="006121A4"/>
    <w:rsid w:val="0061224C"/>
    <w:rsid w:val="00612A46"/>
    <w:rsid w:val="0061300B"/>
    <w:rsid w:val="006130F2"/>
    <w:rsid w:val="00614290"/>
    <w:rsid w:val="006142FC"/>
    <w:rsid w:val="00614BCC"/>
    <w:rsid w:val="006157D9"/>
    <w:rsid w:val="006159BD"/>
    <w:rsid w:val="00615E2C"/>
    <w:rsid w:val="00616585"/>
    <w:rsid w:val="006170A6"/>
    <w:rsid w:val="00617A7B"/>
    <w:rsid w:val="00617E51"/>
    <w:rsid w:val="00620CD7"/>
    <w:rsid w:val="006214F9"/>
    <w:rsid w:val="006219BA"/>
    <w:rsid w:val="00621CEC"/>
    <w:rsid w:val="00622EB3"/>
    <w:rsid w:val="00622FA8"/>
    <w:rsid w:val="0062354E"/>
    <w:rsid w:val="006249B2"/>
    <w:rsid w:val="00624E13"/>
    <w:rsid w:val="00625180"/>
    <w:rsid w:val="00625960"/>
    <w:rsid w:val="00625CAF"/>
    <w:rsid w:val="00625D5F"/>
    <w:rsid w:val="00625D84"/>
    <w:rsid w:val="006266CE"/>
    <w:rsid w:val="00626B79"/>
    <w:rsid w:val="006276F3"/>
    <w:rsid w:val="006277AA"/>
    <w:rsid w:val="00627A1F"/>
    <w:rsid w:val="00627C82"/>
    <w:rsid w:val="006304C1"/>
    <w:rsid w:val="00630BF3"/>
    <w:rsid w:val="00630C42"/>
    <w:rsid w:val="00630CA4"/>
    <w:rsid w:val="00630E04"/>
    <w:rsid w:val="00631BE8"/>
    <w:rsid w:val="00631F59"/>
    <w:rsid w:val="006329CA"/>
    <w:rsid w:val="00632C76"/>
    <w:rsid w:val="00633E46"/>
    <w:rsid w:val="00634307"/>
    <w:rsid w:val="0063435F"/>
    <w:rsid w:val="006348BC"/>
    <w:rsid w:val="00634CBD"/>
    <w:rsid w:val="006350D8"/>
    <w:rsid w:val="0063535D"/>
    <w:rsid w:val="0063588E"/>
    <w:rsid w:val="0063590A"/>
    <w:rsid w:val="00640728"/>
    <w:rsid w:val="00640739"/>
    <w:rsid w:val="00640B32"/>
    <w:rsid w:val="00640C8E"/>
    <w:rsid w:val="0064230F"/>
    <w:rsid w:val="006424D1"/>
    <w:rsid w:val="006426AA"/>
    <w:rsid w:val="00643597"/>
    <w:rsid w:val="006435A8"/>
    <w:rsid w:val="0064421E"/>
    <w:rsid w:val="0064425F"/>
    <w:rsid w:val="006449EF"/>
    <w:rsid w:val="00644BF3"/>
    <w:rsid w:val="00645379"/>
    <w:rsid w:val="006457FE"/>
    <w:rsid w:val="00645A4F"/>
    <w:rsid w:val="00646BDF"/>
    <w:rsid w:val="00646E66"/>
    <w:rsid w:val="00646F54"/>
    <w:rsid w:val="0064762C"/>
    <w:rsid w:val="00647BBB"/>
    <w:rsid w:val="00647E8B"/>
    <w:rsid w:val="006508D7"/>
    <w:rsid w:val="00651325"/>
    <w:rsid w:val="00651432"/>
    <w:rsid w:val="00651CA4"/>
    <w:rsid w:val="006523D2"/>
    <w:rsid w:val="00652FB9"/>
    <w:rsid w:val="0065322C"/>
    <w:rsid w:val="00653658"/>
    <w:rsid w:val="00653669"/>
    <w:rsid w:val="0065369F"/>
    <w:rsid w:val="00653909"/>
    <w:rsid w:val="0065397F"/>
    <w:rsid w:val="00653E5F"/>
    <w:rsid w:val="006544BC"/>
    <w:rsid w:val="00654907"/>
    <w:rsid w:val="00654B9C"/>
    <w:rsid w:val="00655753"/>
    <w:rsid w:val="00655E30"/>
    <w:rsid w:val="00656208"/>
    <w:rsid w:val="0065651C"/>
    <w:rsid w:val="0065684D"/>
    <w:rsid w:val="006569A2"/>
    <w:rsid w:val="006572E0"/>
    <w:rsid w:val="006574AD"/>
    <w:rsid w:val="006603B7"/>
    <w:rsid w:val="0066113E"/>
    <w:rsid w:val="00661EED"/>
    <w:rsid w:val="00662093"/>
    <w:rsid w:val="00662B48"/>
    <w:rsid w:val="00663A49"/>
    <w:rsid w:val="00663E15"/>
    <w:rsid w:val="00663F24"/>
    <w:rsid w:val="00664414"/>
    <w:rsid w:val="00664E56"/>
    <w:rsid w:val="0066531B"/>
    <w:rsid w:val="00665A3D"/>
    <w:rsid w:val="006671B1"/>
    <w:rsid w:val="00670385"/>
    <w:rsid w:val="006704B9"/>
    <w:rsid w:val="00671CE2"/>
    <w:rsid w:val="00671D1E"/>
    <w:rsid w:val="00672121"/>
    <w:rsid w:val="00673064"/>
    <w:rsid w:val="00673241"/>
    <w:rsid w:val="0067395A"/>
    <w:rsid w:val="006749EF"/>
    <w:rsid w:val="00675255"/>
    <w:rsid w:val="00675929"/>
    <w:rsid w:val="00675B8F"/>
    <w:rsid w:val="00675B9C"/>
    <w:rsid w:val="00676364"/>
    <w:rsid w:val="0067662D"/>
    <w:rsid w:val="00676BFA"/>
    <w:rsid w:val="006778F0"/>
    <w:rsid w:val="00677CCA"/>
    <w:rsid w:val="00680329"/>
    <w:rsid w:val="006805E2"/>
    <w:rsid w:val="00680A19"/>
    <w:rsid w:val="00680CC6"/>
    <w:rsid w:val="006818E0"/>
    <w:rsid w:val="0068206A"/>
    <w:rsid w:val="006821B1"/>
    <w:rsid w:val="0068228F"/>
    <w:rsid w:val="006822C6"/>
    <w:rsid w:val="00682EF9"/>
    <w:rsid w:val="00683B89"/>
    <w:rsid w:val="00683FDB"/>
    <w:rsid w:val="006842D6"/>
    <w:rsid w:val="00684588"/>
    <w:rsid w:val="0068495F"/>
    <w:rsid w:val="00684E50"/>
    <w:rsid w:val="00684EC7"/>
    <w:rsid w:val="006854DF"/>
    <w:rsid w:val="00685B49"/>
    <w:rsid w:val="006864E6"/>
    <w:rsid w:val="0068651B"/>
    <w:rsid w:val="006866AB"/>
    <w:rsid w:val="00686DFD"/>
    <w:rsid w:val="0068713D"/>
    <w:rsid w:val="00687227"/>
    <w:rsid w:val="00687398"/>
    <w:rsid w:val="00687544"/>
    <w:rsid w:val="00687C2D"/>
    <w:rsid w:val="00687D89"/>
    <w:rsid w:val="00687E41"/>
    <w:rsid w:val="00687EA8"/>
    <w:rsid w:val="00687F46"/>
    <w:rsid w:val="00690737"/>
    <w:rsid w:val="00690958"/>
    <w:rsid w:val="00690B56"/>
    <w:rsid w:val="00691136"/>
    <w:rsid w:val="006911DD"/>
    <w:rsid w:val="006911DE"/>
    <w:rsid w:val="006912E0"/>
    <w:rsid w:val="006922F6"/>
    <w:rsid w:val="00692633"/>
    <w:rsid w:val="00692939"/>
    <w:rsid w:val="00693A54"/>
    <w:rsid w:val="00693B40"/>
    <w:rsid w:val="00693B77"/>
    <w:rsid w:val="0069428E"/>
    <w:rsid w:val="006942D1"/>
    <w:rsid w:val="00694549"/>
    <w:rsid w:val="006949E6"/>
    <w:rsid w:val="00694B6D"/>
    <w:rsid w:val="00694E61"/>
    <w:rsid w:val="0069527D"/>
    <w:rsid w:val="00695741"/>
    <w:rsid w:val="00696651"/>
    <w:rsid w:val="00697A39"/>
    <w:rsid w:val="00697C50"/>
    <w:rsid w:val="00697DF9"/>
    <w:rsid w:val="006A03D7"/>
    <w:rsid w:val="006A0407"/>
    <w:rsid w:val="006A05BC"/>
    <w:rsid w:val="006A0D8E"/>
    <w:rsid w:val="006A109B"/>
    <w:rsid w:val="006A23DB"/>
    <w:rsid w:val="006A2402"/>
    <w:rsid w:val="006A2ADA"/>
    <w:rsid w:val="006A2AE1"/>
    <w:rsid w:val="006A3516"/>
    <w:rsid w:val="006A366E"/>
    <w:rsid w:val="006A3692"/>
    <w:rsid w:val="006A37CC"/>
    <w:rsid w:val="006A4AB6"/>
    <w:rsid w:val="006A615F"/>
    <w:rsid w:val="006A680D"/>
    <w:rsid w:val="006A6C3B"/>
    <w:rsid w:val="006A6EFE"/>
    <w:rsid w:val="006A7E7C"/>
    <w:rsid w:val="006B0AE4"/>
    <w:rsid w:val="006B0C32"/>
    <w:rsid w:val="006B375D"/>
    <w:rsid w:val="006B4277"/>
    <w:rsid w:val="006B48B5"/>
    <w:rsid w:val="006B4D03"/>
    <w:rsid w:val="006B6A1D"/>
    <w:rsid w:val="006B6E72"/>
    <w:rsid w:val="006B7007"/>
    <w:rsid w:val="006C03BF"/>
    <w:rsid w:val="006C0B16"/>
    <w:rsid w:val="006C1226"/>
    <w:rsid w:val="006C1302"/>
    <w:rsid w:val="006C138C"/>
    <w:rsid w:val="006C140D"/>
    <w:rsid w:val="006C18C1"/>
    <w:rsid w:val="006C1C44"/>
    <w:rsid w:val="006C21EE"/>
    <w:rsid w:val="006C253F"/>
    <w:rsid w:val="006C28A2"/>
    <w:rsid w:val="006C2C0A"/>
    <w:rsid w:val="006C397D"/>
    <w:rsid w:val="006C3A4B"/>
    <w:rsid w:val="006C3BC8"/>
    <w:rsid w:val="006C3D6D"/>
    <w:rsid w:val="006C4A0C"/>
    <w:rsid w:val="006C53D9"/>
    <w:rsid w:val="006C57B0"/>
    <w:rsid w:val="006C5AA5"/>
    <w:rsid w:val="006C62C0"/>
    <w:rsid w:val="006C691C"/>
    <w:rsid w:val="006C7278"/>
    <w:rsid w:val="006C7380"/>
    <w:rsid w:val="006C78A0"/>
    <w:rsid w:val="006D095D"/>
    <w:rsid w:val="006D0BFD"/>
    <w:rsid w:val="006D0D78"/>
    <w:rsid w:val="006D12EA"/>
    <w:rsid w:val="006D1411"/>
    <w:rsid w:val="006D231E"/>
    <w:rsid w:val="006D29B2"/>
    <w:rsid w:val="006D29FD"/>
    <w:rsid w:val="006D2F17"/>
    <w:rsid w:val="006D30A7"/>
    <w:rsid w:val="006D338B"/>
    <w:rsid w:val="006D39D6"/>
    <w:rsid w:val="006D3DBE"/>
    <w:rsid w:val="006D3E35"/>
    <w:rsid w:val="006D44B9"/>
    <w:rsid w:val="006D47E3"/>
    <w:rsid w:val="006D5116"/>
    <w:rsid w:val="006D56AE"/>
    <w:rsid w:val="006D588C"/>
    <w:rsid w:val="006D5BCE"/>
    <w:rsid w:val="006D6140"/>
    <w:rsid w:val="006D7539"/>
    <w:rsid w:val="006E03B9"/>
    <w:rsid w:val="006E0453"/>
    <w:rsid w:val="006E060F"/>
    <w:rsid w:val="006E12BA"/>
    <w:rsid w:val="006E1788"/>
    <w:rsid w:val="006E2521"/>
    <w:rsid w:val="006E2D28"/>
    <w:rsid w:val="006E2DBD"/>
    <w:rsid w:val="006E32BA"/>
    <w:rsid w:val="006E4BC5"/>
    <w:rsid w:val="006E4F36"/>
    <w:rsid w:val="006E50B4"/>
    <w:rsid w:val="006E55E7"/>
    <w:rsid w:val="006E560D"/>
    <w:rsid w:val="006E606B"/>
    <w:rsid w:val="006E6239"/>
    <w:rsid w:val="006E6818"/>
    <w:rsid w:val="006E6A33"/>
    <w:rsid w:val="006E70D2"/>
    <w:rsid w:val="006E714C"/>
    <w:rsid w:val="006E7D0B"/>
    <w:rsid w:val="006E7E4F"/>
    <w:rsid w:val="006F0A7B"/>
    <w:rsid w:val="006F0D0C"/>
    <w:rsid w:val="006F0F4F"/>
    <w:rsid w:val="006F3801"/>
    <w:rsid w:val="006F5130"/>
    <w:rsid w:val="006F5DC4"/>
    <w:rsid w:val="006F6B7D"/>
    <w:rsid w:val="006F6EF8"/>
    <w:rsid w:val="006F6FE5"/>
    <w:rsid w:val="006F7219"/>
    <w:rsid w:val="006F763D"/>
    <w:rsid w:val="006F78D3"/>
    <w:rsid w:val="006F7F0C"/>
    <w:rsid w:val="0070048B"/>
    <w:rsid w:val="007005FF"/>
    <w:rsid w:val="00700A2E"/>
    <w:rsid w:val="00700A7A"/>
    <w:rsid w:val="00701144"/>
    <w:rsid w:val="00701842"/>
    <w:rsid w:val="00701B68"/>
    <w:rsid w:val="00701DDC"/>
    <w:rsid w:val="0070287A"/>
    <w:rsid w:val="007029B2"/>
    <w:rsid w:val="00702AAC"/>
    <w:rsid w:val="00702E55"/>
    <w:rsid w:val="00703529"/>
    <w:rsid w:val="0070362E"/>
    <w:rsid w:val="00704193"/>
    <w:rsid w:val="007041C3"/>
    <w:rsid w:val="00705222"/>
    <w:rsid w:val="00705A1C"/>
    <w:rsid w:val="007061FD"/>
    <w:rsid w:val="0070625B"/>
    <w:rsid w:val="00706709"/>
    <w:rsid w:val="007069A6"/>
    <w:rsid w:val="00707477"/>
    <w:rsid w:val="0071013C"/>
    <w:rsid w:val="007104B3"/>
    <w:rsid w:val="00710635"/>
    <w:rsid w:val="0071084C"/>
    <w:rsid w:val="00710C1F"/>
    <w:rsid w:val="00711128"/>
    <w:rsid w:val="00711130"/>
    <w:rsid w:val="00711B2D"/>
    <w:rsid w:val="00711DBE"/>
    <w:rsid w:val="00711E99"/>
    <w:rsid w:val="00712482"/>
    <w:rsid w:val="00712867"/>
    <w:rsid w:val="00712911"/>
    <w:rsid w:val="007129AD"/>
    <w:rsid w:val="007135F8"/>
    <w:rsid w:val="00714197"/>
    <w:rsid w:val="007153BF"/>
    <w:rsid w:val="007155C3"/>
    <w:rsid w:val="00716958"/>
    <w:rsid w:val="007170AD"/>
    <w:rsid w:val="007175CD"/>
    <w:rsid w:val="00717DEA"/>
    <w:rsid w:val="00717F65"/>
    <w:rsid w:val="0072044D"/>
    <w:rsid w:val="00720879"/>
    <w:rsid w:val="007209F7"/>
    <w:rsid w:val="00721027"/>
    <w:rsid w:val="007216F2"/>
    <w:rsid w:val="0072185D"/>
    <w:rsid w:val="00721D73"/>
    <w:rsid w:val="00722331"/>
    <w:rsid w:val="007227DD"/>
    <w:rsid w:val="00722B84"/>
    <w:rsid w:val="007237A3"/>
    <w:rsid w:val="00723A3D"/>
    <w:rsid w:val="00723F48"/>
    <w:rsid w:val="007242BD"/>
    <w:rsid w:val="007247C7"/>
    <w:rsid w:val="00724CC2"/>
    <w:rsid w:val="00724D36"/>
    <w:rsid w:val="007253DD"/>
    <w:rsid w:val="00725A4A"/>
    <w:rsid w:val="00726643"/>
    <w:rsid w:val="00727262"/>
    <w:rsid w:val="007274E2"/>
    <w:rsid w:val="00730C21"/>
    <w:rsid w:val="00731578"/>
    <w:rsid w:val="00731EA4"/>
    <w:rsid w:val="00732161"/>
    <w:rsid w:val="007324E3"/>
    <w:rsid w:val="00732623"/>
    <w:rsid w:val="00732DDB"/>
    <w:rsid w:val="0073341D"/>
    <w:rsid w:val="007338B8"/>
    <w:rsid w:val="00733D7B"/>
    <w:rsid w:val="00734391"/>
    <w:rsid w:val="0073445E"/>
    <w:rsid w:val="00734A34"/>
    <w:rsid w:val="00734CBE"/>
    <w:rsid w:val="00735216"/>
    <w:rsid w:val="007354A4"/>
    <w:rsid w:val="00735515"/>
    <w:rsid w:val="00735861"/>
    <w:rsid w:val="0073597E"/>
    <w:rsid w:val="00735FB4"/>
    <w:rsid w:val="007360F1"/>
    <w:rsid w:val="0073635D"/>
    <w:rsid w:val="007368F8"/>
    <w:rsid w:val="007374D4"/>
    <w:rsid w:val="007377C3"/>
    <w:rsid w:val="00737B93"/>
    <w:rsid w:val="00737D76"/>
    <w:rsid w:val="00740048"/>
    <w:rsid w:val="007401A6"/>
    <w:rsid w:val="0074028D"/>
    <w:rsid w:val="00740F63"/>
    <w:rsid w:val="00741E26"/>
    <w:rsid w:val="00742827"/>
    <w:rsid w:val="00742A91"/>
    <w:rsid w:val="00743005"/>
    <w:rsid w:val="0074328F"/>
    <w:rsid w:val="0074382E"/>
    <w:rsid w:val="00743E3C"/>
    <w:rsid w:val="007441EE"/>
    <w:rsid w:val="00744512"/>
    <w:rsid w:val="007446E9"/>
    <w:rsid w:val="007454E4"/>
    <w:rsid w:val="0074630B"/>
    <w:rsid w:val="0074651F"/>
    <w:rsid w:val="0074668C"/>
    <w:rsid w:val="0074676E"/>
    <w:rsid w:val="0074756D"/>
    <w:rsid w:val="00747FB4"/>
    <w:rsid w:val="00750180"/>
    <w:rsid w:val="00750A40"/>
    <w:rsid w:val="00750ECD"/>
    <w:rsid w:val="00751C59"/>
    <w:rsid w:val="0075230D"/>
    <w:rsid w:val="007536EC"/>
    <w:rsid w:val="007545C9"/>
    <w:rsid w:val="00754806"/>
    <w:rsid w:val="007549D2"/>
    <w:rsid w:val="00754FDB"/>
    <w:rsid w:val="00755046"/>
    <w:rsid w:val="007554E8"/>
    <w:rsid w:val="007558A1"/>
    <w:rsid w:val="00755A60"/>
    <w:rsid w:val="00755EC7"/>
    <w:rsid w:val="00756422"/>
    <w:rsid w:val="00756D5E"/>
    <w:rsid w:val="00757084"/>
    <w:rsid w:val="00757F4D"/>
    <w:rsid w:val="00760587"/>
    <w:rsid w:val="00760EFD"/>
    <w:rsid w:val="007617A2"/>
    <w:rsid w:val="00761A4D"/>
    <w:rsid w:val="00762A16"/>
    <w:rsid w:val="00762CAE"/>
    <w:rsid w:val="007633B7"/>
    <w:rsid w:val="00763A29"/>
    <w:rsid w:val="0076428D"/>
    <w:rsid w:val="00764C98"/>
    <w:rsid w:val="00764E08"/>
    <w:rsid w:val="00764EAF"/>
    <w:rsid w:val="0076560E"/>
    <w:rsid w:val="00765CA4"/>
    <w:rsid w:val="00766784"/>
    <w:rsid w:val="0076770C"/>
    <w:rsid w:val="0076791D"/>
    <w:rsid w:val="00767F14"/>
    <w:rsid w:val="007704D4"/>
    <w:rsid w:val="0077076A"/>
    <w:rsid w:val="0077126C"/>
    <w:rsid w:val="007715CA"/>
    <w:rsid w:val="00772399"/>
    <w:rsid w:val="00772DA9"/>
    <w:rsid w:val="0077339D"/>
    <w:rsid w:val="00773771"/>
    <w:rsid w:val="00773A35"/>
    <w:rsid w:val="00774452"/>
    <w:rsid w:val="00774C19"/>
    <w:rsid w:val="0077532F"/>
    <w:rsid w:val="00775C4D"/>
    <w:rsid w:val="00776397"/>
    <w:rsid w:val="0077670C"/>
    <w:rsid w:val="0077722D"/>
    <w:rsid w:val="00780579"/>
    <w:rsid w:val="007809F6"/>
    <w:rsid w:val="00780D16"/>
    <w:rsid w:val="0078177E"/>
    <w:rsid w:val="00781E40"/>
    <w:rsid w:val="00781E51"/>
    <w:rsid w:val="007822B1"/>
    <w:rsid w:val="00782D50"/>
    <w:rsid w:val="0078387C"/>
    <w:rsid w:val="0078388F"/>
    <w:rsid w:val="00783BB0"/>
    <w:rsid w:val="00783F98"/>
    <w:rsid w:val="00784531"/>
    <w:rsid w:val="00784A10"/>
    <w:rsid w:val="0078526F"/>
    <w:rsid w:val="00785325"/>
    <w:rsid w:val="007855E9"/>
    <w:rsid w:val="00785EB5"/>
    <w:rsid w:val="00786E13"/>
    <w:rsid w:val="007870F6"/>
    <w:rsid w:val="007871A5"/>
    <w:rsid w:val="007872A5"/>
    <w:rsid w:val="00787652"/>
    <w:rsid w:val="00787AAB"/>
    <w:rsid w:val="00787F90"/>
    <w:rsid w:val="00790DA3"/>
    <w:rsid w:val="00791046"/>
    <w:rsid w:val="00791ABA"/>
    <w:rsid w:val="00792282"/>
    <w:rsid w:val="0079364A"/>
    <w:rsid w:val="007937EC"/>
    <w:rsid w:val="00793C75"/>
    <w:rsid w:val="00793DD3"/>
    <w:rsid w:val="007940DD"/>
    <w:rsid w:val="00794FC5"/>
    <w:rsid w:val="007951E3"/>
    <w:rsid w:val="00795307"/>
    <w:rsid w:val="007960A8"/>
    <w:rsid w:val="0079611C"/>
    <w:rsid w:val="00796280"/>
    <w:rsid w:val="007966F6"/>
    <w:rsid w:val="00797402"/>
    <w:rsid w:val="00797C34"/>
    <w:rsid w:val="007A06AC"/>
    <w:rsid w:val="007A08E1"/>
    <w:rsid w:val="007A0C5D"/>
    <w:rsid w:val="007A15D9"/>
    <w:rsid w:val="007A17F4"/>
    <w:rsid w:val="007A276E"/>
    <w:rsid w:val="007A29F5"/>
    <w:rsid w:val="007A39F1"/>
    <w:rsid w:val="007A42E6"/>
    <w:rsid w:val="007A44B8"/>
    <w:rsid w:val="007A461A"/>
    <w:rsid w:val="007A5016"/>
    <w:rsid w:val="007A5285"/>
    <w:rsid w:val="007A5CB5"/>
    <w:rsid w:val="007A5EB0"/>
    <w:rsid w:val="007A5F29"/>
    <w:rsid w:val="007A6BF0"/>
    <w:rsid w:val="007A73CC"/>
    <w:rsid w:val="007A775B"/>
    <w:rsid w:val="007A7B9E"/>
    <w:rsid w:val="007B0160"/>
    <w:rsid w:val="007B0497"/>
    <w:rsid w:val="007B086B"/>
    <w:rsid w:val="007B13AF"/>
    <w:rsid w:val="007B18A5"/>
    <w:rsid w:val="007B1A71"/>
    <w:rsid w:val="007B1E9A"/>
    <w:rsid w:val="007B262E"/>
    <w:rsid w:val="007B2739"/>
    <w:rsid w:val="007B2A8C"/>
    <w:rsid w:val="007B2F90"/>
    <w:rsid w:val="007B30C2"/>
    <w:rsid w:val="007B326E"/>
    <w:rsid w:val="007B3D98"/>
    <w:rsid w:val="007B3FC6"/>
    <w:rsid w:val="007B406F"/>
    <w:rsid w:val="007B4196"/>
    <w:rsid w:val="007B42CD"/>
    <w:rsid w:val="007B53C6"/>
    <w:rsid w:val="007B54BB"/>
    <w:rsid w:val="007B578F"/>
    <w:rsid w:val="007B57CE"/>
    <w:rsid w:val="007B62A4"/>
    <w:rsid w:val="007B6A45"/>
    <w:rsid w:val="007B6F87"/>
    <w:rsid w:val="007B70B5"/>
    <w:rsid w:val="007B7271"/>
    <w:rsid w:val="007B750E"/>
    <w:rsid w:val="007C022B"/>
    <w:rsid w:val="007C067F"/>
    <w:rsid w:val="007C09F8"/>
    <w:rsid w:val="007C1413"/>
    <w:rsid w:val="007C1589"/>
    <w:rsid w:val="007C19C1"/>
    <w:rsid w:val="007C1B92"/>
    <w:rsid w:val="007C1FAD"/>
    <w:rsid w:val="007C2992"/>
    <w:rsid w:val="007C2AA1"/>
    <w:rsid w:val="007C2C4A"/>
    <w:rsid w:val="007C2DF4"/>
    <w:rsid w:val="007C3AD3"/>
    <w:rsid w:val="007C3F2B"/>
    <w:rsid w:val="007C498F"/>
    <w:rsid w:val="007C4F7F"/>
    <w:rsid w:val="007C527B"/>
    <w:rsid w:val="007C52BD"/>
    <w:rsid w:val="007C67EC"/>
    <w:rsid w:val="007C6AC2"/>
    <w:rsid w:val="007C6D0F"/>
    <w:rsid w:val="007C6E79"/>
    <w:rsid w:val="007C7479"/>
    <w:rsid w:val="007C786F"/>
    <w:rsid w:val="007D0045"/>
    <w:rsid w:val="007D0605"/>
    <w:rsid w:val="007D138B"/>
    <w:rsid w:val="007D1696"/>
    <w:rsid w:val="007D2832"/>
    <w:rsid w:val="007D2B3F"/>
    <w:rsid w:val="007D3604"/>
    <w:rsid w:val="007D3E54"/>
    <w:rsid w:val="007D3F51"/>
    <w:rsid w:val="007D4AD7"/>
    <w:rsid w:val="007D5050"/>
    <w:rsid w:val="007D5E59"/>
    <w:rsid w:val="007D6384"/>
    <w:rsid w:val="007D6E05"/>
    <w:rsid w:val="007D6E86"/>
    <w:rsid w:val="007D737E"/>
    <w:rsid w:val="007D78F2"/>
    <w:rsid w:val="007E024F"/>
    <w:rsid w:val="007E24AC"/>
    <w:rsid w:val="007E2E03"/>
    <w:rsid w:val="007E2EE2"/>
    <w:rsid w:val="007E315E"/>
    <w:rsid w:val="007E34E1"/>
    <w:rsid w:val="007E3C59"/>
    <w:rsid w:val="007E3D69"/>
    <w:rsid w:val="007E42CD"/>
    <w:rsid w:val="007E53D7"/>
    <w:rsid w:val="007E5BDE"/>
    <w:rsid w:val="007E5D14"/>
    <w:rsid w:val="007E6150"/>
    <w:rsid w:val="007E647B"/>
    <w:rsid w:val="007E6BB4"/>
    <w:rsid w:val="007E6E52"/>
    <w:rsid w:val="007E6E64"/>
    <w:rsid w:val="007E73ED"/>
    <w:rsid w:val="007E7445"/>
    <w:rsid w:val="007E7576"/>
    <w:rsid w:val="007E7921"/>
    <w:rsid w:val="007E7939"/>
    <w:rsid w:val="007E7B9D"/>
    <w:rsid w:val="007E7CFF"/>
    <w:rsid w:val="007F025D"/>
    <w:rsid w:val="007F0CBB"/>
    <w:rsid w:val="007F10BF"/>
    <w:rsid w:val="007F1458"/>
    <w:rsid w:val="007F17CD"/>
    <w:rsid w:val="007F2060"/>
    <w:rsid w:val="007F2169"/>
    <w:rsid w:val="007F2E7E"/>
    <w:rsid w:val="007F3294"/>
    <w:rsid w:val="007F32D6"/>
    <w:rsid w:val="007F3600"/>
    <w:rsid w:val="007F39E3"/>
    <w:rsid w:val="007F3FE7"/>
    <w:rsid w:val="007F40DA"/>
    <w:rsid w:val="007F484A"/>
    <w:rsid w:val="007F515A"/>
    <w:rsid w:val="007F56AB"/>
    <w:rsid w:val="007F590A"/>
    <w:rsid w:val="007F5D3F"/>
    <w:rsid w:val="007F6823"/>
    <w:rsid w:val="007F6849"/>
    <w:rsid w:val="007F6B2D"/>
    <w:rsid w:val="007F6B9D"/>
    <w:rsid w:val="007F7663"/>
    <w:rsid w:val="007F7C06"/>
    <w:rsid w:val="007F7FC9"/>
    <w:rsid w:val="008007B5"/>
    <w:rsid w:val="00800A75"/>
    <w:rsid w:val="00800DF9"/>
    <w:rsid w:val="00801400"/>
    <w:rsid w:val="00801C41"/>
    <w:rsid w:val="00802331"/>
    <w:rsid w:val="00802796"/>
    <w:rsid w:val="00802E71"/>
    <w:rsid w:val="00803591"/>
    <w:rsid w:val="00803BBB"/>
    <w:rsid w:val="00803D1B"/>
    <w:rsid w:val="0080410C"/>
    <w:rsid w:val="008051A5"/>
    <w:rsid w:val="008052FB"/>
    <w:rsid w:val="00805D55"/>
    <w:rsid w:val="00805F80"/>
    <w:rsid w:val="0080636C"/>
    <w:rsid w:val="0080671D"/>
    <w:rsid w:val="008069B1"/>
    <w:rsid w:val="00806B43"/>
    <w:rsid w:val="00806ED4"/>
    <w:rsid w:val="008074A5"/>
    <w:rsid w:val="008074E4"/>
    <w:rsid w:val="0081027C"/>
    <w:rsid w:val="00810BED"/>
    <w:rsid w:val="0081100F"/>
    <w:rsid w:val="00811250"/>
    <w:rsid w:val="008119B1"/>
    <w:rsid w:val="008119DF"/>
    <w:rsid w:val="00811C83"/>
    <w:rsid w:val="00812037"/>
    <w:rsid w:val="00812114"/>
    <w:rsid w:val="008132B7"/>
    <w:rsid w:val="00813496"/>
    <w:rsid w:val="008134F4"/>
    <w:rsid w:val="00813531"/>
    <w:rsid w:val="008138AD"/>
    <w:rsid w:val="00814859"/>
    <w:rsid w:val="00814A92"/>
    <w:rsid w:val="008151B5"/>
    <w:rsid w:val="00815C85"/>
    <w:rsid w:val="00815C98"/>
    <w:rsid w:val="00816C6A"/>
    <w:rsid w:val="008171D2"/>
    <w:rsid w:val="008178F6"/>
    <w:rsid w:val="00817A66"/>
    <w:rsid w:val="00817C45"/>
    <w:rsid w:val="008201ED"/>
    <w:rsid w:val="0082042D"/>
    <w:rsid w:val="00820BAA"/>
    <w:rsid w:val="00820F04"/>
    <w:rsid w:val="00821D33"/>
    <w:rsid w:val="00821F4D"/>
    <w:rsid w:val="008222E1"/>
    <w:rsid w:val="00822417"/>
    <w:rsid w:val="0082285E"/>
    <w:rsid w:val="00823231"/>
    <w:rsid w:val="0082375B"/>
    <w:rsid w:val="008237F7"/>
    <w:rsid w:val="008238BD"/>
    <w:rsid w:val="00824115"/>
    <w:rsid w:val="00825397"/>
    <w:rsid w:val="00825398"/>
    <w:rsid w:val="00825434"/>
    <w:rsid w:val="00825F16"/>
    <w:rsid w:val="008260A8"/>
    <w:rsid w:val="0082613F"/>
    <w:rsid w:val="00826581"/>
    <w:rsid w:val="00826713"/>
    <w:rsid w:val="00827315"/>
    <w:rsid w:val="00827E2A"/>
    <w:rsid w:val="00827E8E"/>
    <w:rsid w:val="008306BD"/>
    <w:rsid w:val="00831358"/>
    <w:rsid w:val="008314C6"/>
    <w:rsid w:val="008315FC"/>
    <w:rsid w:val="00831679"/>
    <w:rsid w:val="008317F6"/>
    <w:rsid w:val="00831807"/>
    <w:rsid w:val="00831AD9"/>
    <w:rsid w:val="00831BB2"/>
    <w:rsid w:val="00831CE7"/>
    <w:rsid w:val="00831F7C"/>
    <w:rsid w:val="00832447"/>
    <w:rsid w:val="0083307C"/>
    <w:rsid w:val="00833621"/>
    <w:rsid w:val="00833663"/>
    <w:rsid w:val="00833891"/>
    <w:rsid w:val="0083424A"/>
    <w:rsid w:val="0083467C"/>
    <w:rsid w:val="00834CA4"/>
    <w:rsid w:val="0083540E"/>
    <w:rsid w:val="008354CC"/>
    <w:rsid w:val="0083553B"/>
    <w:rsid w:val="008359C0"/>
    <w:rsid w:val="00836324"/>
    <w:rsid w:val="0083637D"/>
    <w:rsid w:val="00836910"/>
    <w:rsid w:val="00837B2F"/>
    <w:rsid w:val="00837BBC"/>
    <w:rsid w:val="00837F1B"/>
    <w:rsid w:val="00840572"/>
    <w:rsid w:val="008420D0"/>
    <w:rsid w:val="00842139"/>
    <w:rsid w:val="0084220D"/>
    <w:rsid w:val="008423C5"/>
    <w:rsid w:val="008438E6"/>
    <w:rsid w:val="00843C8E"/>
    <w:rsid w:val="00844C44"/>
    <w:rsid w:val="00844D89"/>
    <w:rsid w:val="00844F1D"/>
    <w:rsid w:val="008450C2"/>
    <w:rsid w:val="0084598B"/>
    <w:rsid w:val="00845A82"/>
    <w:rsid w:val="00845D2C"/>
    <w:rsid w:val="00846879"/>
    <w:rsid w:val="00846CD5"/>
    <w:rsid w:val="00846F80"/>
    <w:rsid w:val="0084754A"/>
    <w:rsid w:val="0084783F"/>
    <w:rsid w:val="00847915"/>
    <w:rsid w:val="00847DCE"/>
    <w:rsid w:val="00850295"/>
    <w:rsid w:val="00850AF0"/>
    <w:rsid w:val="0085131E"/>
    <w:rsid w:val="00851412"/>
    <w:rsid w:val="00851CA5"/>
    <w:rsid w:val="00852354"/>
    <w:rsid w:val="00852581"/>
    <w:rsid w:val="008526AC"/>
    <w:rsid w:val="008531EF"/>
    <w:rsid w:val="00854548"/>
    <w:rsid w:val="0085474A"/>
    <w:rsid w:val="00854D40"/>
    <w:rsid w:val="0085520F"/>
    <w:rsid w:val="00855366"/>
    <w:rsid w:val="008553FB"/>
    <w:rsid w:val="00855581"/>
    <w:rsid w:val="00855DE5"/>
    <w:rsid w:val="0085616E"/>
    <w:rsid w:val="00857313"/>
    <w:rsid w:val="00857839"/>
    <w:rsid w:val="00857A26"/>
    <w:rsid w:val="00857E00"/>
    <w:rsid w:val="00860028"/>
    <w:rsid w:val="008600D4"/>
    <w:rsid w:val="008603B5"/>
    <w:rsid w:val="00860BBA"/>
    <w:rsid w:val="00860DDB"/>
    <w:rsid w:val="0086105B"/>
    <w:rsid w:val="0086133E"/>
    <w:rsid w:val="00861455"/>
    <w:rsid w:val="00861914"/>
    <w:rsid w:val="00861D46"/>
    <w:rsid w:val="008625E4"/>
    <w:rsid w:val="008634FB"/>
    <w:rsid w:val="00863D5B"/>
    <w:rsid w:val="00863E39"/>
    <w:rsid w:val="00863F63"/>
    <w:rsid w:val="00863FD3"/>
    <w:rsid w:val="00864646"/>
    <w:rsid w:val="00864C9E"/>
    <w:rsid w:val="00865205"/>
    <w:rsid w:val="008656EF"/>
    <w:rsid w:val="00865BF4"/>
    <w:rsid w:val="008669C4"/>
    <w:rsid w:val="008703CC"/>
    <w:rsid w:val="008707DB"/>
    <w:rsid w:val="00871E4D"/>
    <w:rsid w:val="00872502"/>
    <w:rsid w:val="008730B4"/>
    <w:rsid w:val="00873166"/>
    <w:rsid w:val="008734EF"/>
    <w:rsid w:val="00873B75"/>
    <w:rsid w:val="008747A1"/>
    <w:rsid w:val="00874E38"/>
    <w:rsid w:val="008751A4"/>
    <w:rsid w:val="008758C5"/>
    <w:rsid w:val="00875A12"/>
    <w:rsid w:val="00875B8E"/>
    <w:rsid w:val="008768F0"/>
    <w:rsid w:val="00876ACA"/>
    <w:rsid w:val="00876E93"/>
    <w:rsid w:val="00876F15"/>
    <w:rsid w:val="00877161"/>
    <w:rsid w:val="00877964"/>
    <w:rsid w:val="008809E7"/>
    <w:rsid w:val="00880DE5"/>
    <w:rsid w:val="00881402"/>
    <w:rsid w:val="00881450"/>
    <w:rsid w:val="008816B8"/>
    <w:rsid w:val="00881A33"/>
    <w:rsid w:val="0088222F"/>
    <w:rsid w:val="0088289C"/>
    <w:rsid w:val="00882E75"/>
    <w:rsid w:val="0088352F"/>
    <w:rsid w:val="00883E4C"/>
    <w:rsid w:val="00883F2E"/>
    <w:rsid w:val="008840C0"/>
    <w:rsid w:val="008846DC"/>
    <w:rsid w:val="008846DE"/>
    <w:rsid w:val="00884B61"/>
    <w:rsid w:val="00885642"/>
    <w:rsid w:val="008857A9"/>
    <w:rsid w:val="008859AC"/>
    <w:rsid w:val="00885FB3"/>
    <w:rsid w:val="008861A0"/>
    <w:rsid w:val="00886AC7"/>
    <w:rsid w:val="00886F08"/>
    <w:rsid w:val="0088705A"/>
    <w:rsid w:val="008874AC"/>
    <w:rsid w:val="008875D9"/>
    <w:rsid w:val="00887691"/>
    <w:rsid w:val="00887749"/>
    <w:rsid w:val="00887A0F"/>
    <w:rsid w:val="00890E06"/>
    <w:rsid w:val="008912D6"/>
    <w:rsid w:val="00891880"/>
    <w:rsid w:val="00891C7A"/>
    <w:rsid w:val="008922E0"/>
    <w:rsid w:val="00892D98"/>
    <w:rsid w:val="00892EA5"/>
    <w:rsid w:val="0089320C"/>
    <w:rsid w:val="00893544"/>
    <w:rsid w:val="00894188"/>
    <w:rsid w:val="008945E0"/>
    <w:rsid w:val="00894B98"/>
    <w:rsid w:val="00894CFE"/>
    <w:rsid w:val="00894E10"/>
    <w:rsid w:val="0089538F"/>
    <w:rsid w:val="008955C5"/>
    <w:rsid w:val="008956D5"/>
    <w:rsid w:val="0089788F"/>
    <w:rsid w:val="008A0CEB"/>
    <w:rsid w:val="008A10F4"/>
    <w:rsid w:val="008A1318"/>
    <w:rsid w:val="008A214A"/>
    <w:rsid w:val="008A2234"/>
    <w:rsid w:val="008A255F"/>
    <w:rsid w:val="008A2EDF"/>
    <w:rsid w:val="008A3DC1"/>
    <w:rsid w:val="008A463C"/>
    <w:rsid w:val="008A4807"/>
    <w:rsid w:val="008A5F67"/>
    <w:rsid w:val="008A6486"/>
    <w:rsid w:val="008A6683"/>
    <w:rsid w:val="008A67B6"/>
    <w:rsid w:val="008A6A7A"/>
    <w:rsid w:val="008A777A"/>
    <w:rsid w:val="008A77FA"/>
    <w:rsid w:val="008B048A"/>
    <w:rsid w:val="008B0F52"/>
    <w:rsid w:val="008B1071"/>
    <w:rsid w:val="008B1860"/>
    <w:rsid w:val="008B198F"/>
    <w:rsid w:val="008B1B8E"/>
    <w:rsid w:val="008B219B"/>
    <w:rsid w:val="008B2B90"/>
    <w:rsid w:val="008B3065"/>
    <w:rsid w:val="008B391B"/>
    <w:rsid w:val="008B3ED8"/>
    <w:rsid w:val="008B421B"/>
    <w:rsid w:val="008B53FA"/>
    <w:rsid w:val="008B575D"/>
    <w:rsid w:val="008B57CE"/>
    <w:rsid w:val="008B5A18"/>
    <w:rsid w:val="008B6224"/>
    <w:rsid w:val="008B6F4E"/>
    <w:rsid w:val="008B7294"/>
    <w:rsid w:val="008B7EA5"/>
    <w:rsid w:val="008C02D0"/>
    <w:rsid w:val="008C042A"/>
    <w:rsid w:val="008C09BA"/>
    <w:rsid w:val="008C0D20"/>
    <w:rsid w:val="008C104A"/>
    <w:rsid w:val="008C10BF"/>
    <w:rsid w:val="008C1470"/>
    <w:rsid w:val="008C1F5C"/>
    <w:rsid w:val="008C2090"/>
    <w:rsid w:val="008C2592"/>
    <w:rsid w:val="008C2633"/>
    <w:rsid w:val="008C2BC3"/>
    <w:rsid w:val="008C3422"/>
    <w:rsid w:val="008C3C1B"/>
    <w:rsid w:val="008C3E5F"/>
    <w:rsid w:val="008C445D"/>
    <w:rsid w:val="008C4B27"/>
    <w:rsid w:val="008C5681"/>
    <w:rsid w:val="008C5772"/>
    <w:rsid w:val="008C5870"/>
    <w:rsid w:val="008C5DA7"/>
    <w:rsid w:val="008C612B"/>
    <w:rsid w:val="008C61C4"/>
    <w:rsid w:val="008C6B6E"/>
    <w:rsid w:val="008C6F07"/>
    <w:rsid w:val="008C7214"/>
    <w:rsid w:val="008C7391"/>
    <w:rsid w:val="008C74D7"/>
    <w:rsid w:val="008C76D8"/>
    <w:rsid w:val="008C7A96"/>
    <w:rsid w:val="008D0B0A"/>
    <w:rsid w:val="008D117F"/>
    <w:rsid w:val="008D1350"/>
    <w:rsid w:val="008D169C"/>
    <w:rsid w:val="008D207C"/>
    <w:rsid w:val="008D3073"/>
    <w:rsid w:val="008D30C0"/>
    <w:rsid w:val="008D380B"/>
    <w:rsid w:val="008D3866"/>
    <w:rsid w:val="008D3A04"/>
    <w:rsid w:val="008D3C81"/>
    <w:rsid w:val="008D43F4"/>
    <w:rsid w:val="008D48BD"/>
    <w:rsid w:val="008D4B36"/>
    <w:rsid w:val="008D5D56"/>
    <w:rsid w:val="008D5D70"/>
    <w:rsid w:val="008D6598"/>
    <w:rsid w:val="008D6F19"/>
    <w:rsid w:val="008D6F86"/>
    <w:rsid w:val="008D77D0"/>
    <w:rsid w:val="008D7C9B"/>
    <w:rsid w:val="008D7D84"/>
    <w:rsid w:val="008E11F5"/>
    <w:rsid w:val="008E15A9"/>
    <w:rsid w:val="008E19D5"/>
    <w:rsid w:val="008E1DF9"/>
    <w:rsid w:val="008E2EA8"/>
    <w:rsid w:val="008E3208"/>
    <w:rsid w:val="008E351E"/>
    <w:rsid w:val="008E36E3"/>
    <w:rsid w:val="008E3EF2"/>
    <w:rsid w:val="008E3FA8"/>
    <w:rsid w:val="008E4513"/>
    <w:rsid w:val="008E4765"/>
    <w:rsid w:val="008E4942"/>
    <w:rsid w:val="008E4DE7"/>
    <w:rsid w:val="008E5A2A"/>
    <w:rsid w:val="008E5F0A"/>
    <w:rsid w:val="008E5FF3"/>
    <w:rsid w:val="008E6000"/>
    <w:rsid w:val="008E6284"/>
    <w:rsid w:val="008E64D4"/>
    <w:rsid w:val="008E662F"/>
    <w:rsid w:val="008E69FC"/>
    <w:rsid w:val="008E6BF5"/>
    <w:rsid w:val="008E700D"/>
    <w:rsid w:val="008E72FF"/>
    <w:rsid w:val="008E737B"/>
    <w:rsid w:val="008E7760"/>
    <w:rsid w:val="008E7771"/>
    <w:rsid w:val="008E7819"/>
    <w:rsid w:val="008E7C83"/>
    <w:rsid w:val="008E7D6D"/>
    <w:rsid w:val="008E7DE2"/>
    <w:rsid w:val="008E7E92"/>
    <w:rsid w:val="008F01BA"/>
    <w:rsid w:val="008F07F9"/>
    <w:rsid w:val="008F0C90"/>
    <w:rsid w:val="008F272A"/>
    <w:rsid w:val="008F2AB9"/>
    <w:rsid w:val="008F2FA6"/>
    <w:rsid w:val="008F336C"/>
    <w:rsid w:val="008F34B0"/>
    <w:rsid w:val="008F3BF4"/>
    <w:rsid w:val="008F3C50"/>
    <w:rsid w:val="008F4BDA"/>
    <w:rsid w:val="008F4CE0"/>
    <w:rsid w:val="008F52B6"/>
    <w:rsid w:val="008F5AD1"/>
    <w:rsid w:val="008F5B4E"/>
    <w:rsid w:val="008F5DC5"/>
    <w:rsid w:val="008F6667"/>
    <w:rsid w:val="008F7395"/>
    <w:rsid w:val="008F73FF"/>
    <w:rsid w:val="008F778E"/>
    <w:rsid w:val="008F7847"/>
    <w:rsid w:val="008F7990"/>
    <w:rsid w:val="008F79F4"/>
    <w:rsid w:val="008F7CAE"/>
    <w:rsid w:val="009007AC"/>
    <w:rsid w:val="00900AA7"/>
    <w:rsid w:val="009017DB"/>
    <w:rsid w:val="00901EB2"/>
    <w:rsid w:val="00901FC4"/>
    <w:rsid w:val="00902576"/>
    <w:rsid w:val="009027FE"/>
    <w:rsid w:val="00902917"/>
    <w:rsid w:val="00902A76"/>
    <w:rsid w:val="00904070"/>
    <w:rsid w:val="0090417B"/>
    <w:rsid w:val="0090459D"/>
    <w:rsid w:val="00904B8C"/>
    <w:rsid w:val="00904BA1"/>
    <w:rsid w:val="00905809"/>
    <w:rsid w:val="00905EA8"/>
    <w:rsid w:val="00905F21"/>
    <w:rsid w:val="00905F64"/>
    <w:rsid w:val="009061EE"/>
    <w:rsid w:val="00906BB1"/>
    <w:rsid w:val="00906D76"/>
    <w:rsid w:val="00906D7B"/>
    <w:rsid w:val="00907BE3"/>
    <w:rsid w:val="009102B6"/>
    <w:rsid w:val="00910680"/>
    <w:rsid w:val="0091149A"/>
    <w:rsid w:val="00911C6C"/>
    <w:rsid w:val="00911F3B"/>
    <w:rsid w:val="009120DA"/>
    <w:rsid w:val="00912719"/>
    <w:rsid w:val="00912927"/>
    <w:rsid w:val="009129FC"/>
    <w:rsid w:val="00912C9D"/>
    <w:rsid w:val="00912D4B"/>
    <w:rsid w:val="0091395D"/>
    <w:rsid w:val="00914196"/>
    <w:rsid w:val="009145CB"/>
    <w:rsid w:val="009146C0"/>
    <w:rsid w:val="009148B2"/>
    <w:rsid w:val="00914A77"/>
    <w:rsid w:val="00914DAC"/>
    <w:rsid w:val="00915441"/>
    <w:rsid w:val="0091554B"/>
    <w:rsid w:val="009159CA"/>
    <w:rsid w:val="00915BB3"/>
    <w:rsid w:val="00915D2B"/>
    <w:rsid w:val="00915ED0"/>
    <w:rsid w:val="00915FF4"/>
    <w:rsid w:val="009170D5"/>
    <w:rsid w:val="00917E47"/>
    <w:rsid w:val="009200F7"/>
    <w:rsid w:val="00920CF2"/>
    <w:rsid w:val="009210D4"/>
    <w:rsid w:val="0092132B"/>
    <w:rsid w:val="009224EB"/>
    <w:rsid w:val="00922645"/>
    <w:rsid w:val="009226CD"/>
    <w:rsid w:val="00922B54"/>
    <w:rsid w:val="0092303C"/>
    <w:rsid w:val="009233F1"/>
    <w:rsid w:val="0092386D"/>
    <w:rsid w:val="00923A2B"/>
    <w:rsid w:val="00923C80"/>
    <w:rsid w:val="00924286"/>
    <w:rsid w:val="0092433F"/>
    <w:rsid w:val="009243C1"/>
    <w:rsid w:val="0092455E"/>
    <w:rsid w:val="00924ACB"/>
    <w:rsid w:val="00924CC2"/>
    <w:rsid w:val="009254B2"/>
    <w:rsid w:val="0092559A"/>
    <w:rsid w:val="00925ADE"/>
    <w:rsid w:val="0092793E"/>
    <w:rsid w:val="009311A1"/>
    <w:rsid w:val="009314AC"/>
    <w:rsid w:val="0093155C"/>
    <w:rsid w:val="00931722"/>
    <w:rsid w:val="00931914"/>
    <w:rsid w:val="00931AE7"/>
    <w:rsid w:val="0093211D"/>
    <w:rsid w:val="009332ED"/>
    <w:rsid w:val="009339D7"/>
    <w:rsid w:val="00933C07"/>
    <w:rsid w:val="00934971"/>
    <w:rsid w:val="00934CCF"/>
    <w:rsid w:val="00935557"/>
    <w:rsid w:val="009359F1"/>
    <w:rsid w:val="00935B4A"/>
    <w:rsid w:val="00936397"/>
    <w:rsid w:val="009373C5"/>
    <w:rsid w:val="009374D7"/>
    <w:rsid w:val="0094090C"/>
    <w:rsid w:val="00940DA6"/>
    <w:rsid w:val="00941DA6"/>
    <w:rsid w:val="00942D9B"/>
    <w:rsid w:val="00942F1B"/>
    <w:rsid w:val="00944633"/>
    <w:rsid w:val="00944880"/>
    <w:rsid w:val="00944C75"/>
    <w:rsid w:val="009456D7"/>
    <w:rsid w:val="00945E15"/>
    <w:rsid w:val="00945E68"/>
    <w:rsid w:val="00945F94"/>
    <w:rsid w:val="00946264"/>
    <w:rsid w:val="00946473"/>
    <w:rsid w:val="009469F3"/>
    <w:rsid w:val="00946A78"/>
    <w:rsid w:val="00946B20"/>
    <w:rsid w:val="00946B43"/>
    <w:rsid w:val="00946D49"/>
    <w:rsid w:val="00946DF3"/>
    <w:rsid w:val="0094770B"/>
    <w:rsid w:val="00947B3A"/>
    <w:rsid w:val="00950617"/>
    <w:rsid w:val="009509CE"/>
    <w:rsid w:val="0095172C"/>
    <w:rsid w:val="00952524"/>
    <w:rsid w:val="009528D0"/>
    <w:rsid w:val="00952D0D"/>
    <w:rsid w:val="009530EE"/>
    <w:rsid w:val="0095339C"/>
    <w:rsid w:val="009533DF"/>
    <w:rsid w:val="00953453"/>
    <w:rsid w:val="00953A30"/>
    <w:rsid w:val="0095414A"/>
    <w:rsid w:val="009543DD"/>
    <w:rsid w:val="0095488E"/>
    <w:rsid w:val="00954A1A"/>
    <w:rsid w:val="00954B7C"/>
    <w:rsid w:val="00954EAC"/>
    <w:rsid w:val="00955007"/>
    <w:rsid w:val="009552C1"/>
    <w:rsid w:val="00955BFD"/>
    <w:rsid w:val="00956FB6"/>
    <w:rsid w:val="00957613"/>
    <w:rsid w:val="009577F6"/>
    <w:rsid w:val="00957E86"/>
    <w:rsid w:val="0096037C"/>
    <w:rsid w:val="00960F6E"/>
    <w:rsid w:val="00964316"/>
    <w:rsid w:val="0096451B"/>
    <w:rsid w:val="009646F4"/>
    <w:rsid w:val="0096484A"/>
    <w:rsid w:val="00964951"/>
    <w:rsid w:val="00964FB0"/>
    <w:rsid w:val="0096555E"/>
    <w:rsid w:val="00965889"/>
    <w:rsid w:val="009664C5"/>
    <w:rsid w:val="00966D4F"/>
    <w:rsid w:val="00966FBD"/>
    <w:rsid w:val="009670D2"/>
    <w:rsid w:val="009676DA"/>
    <w:rsid w:val="00967B0B"/>
    <w:rsid w:val="00967C9C"/>
    <w:rsid w:val="009701FB"/>
    <w:rsid w:val="009704A3"/>
    <w:rsid w:val="0097051C"/>
    <w:rsid w:val="00970638"/>
    <w:rsid w:val="00970E6E"/>
    <w:rsid w:val="00971389"/>
    <w:rsid w:val="0097139E"/>
    <w:rsid w:val="009736D1"/>
    <w:rsid w:val="0097441B"/>
    <w:rsid w:val="0097513D"/>
    <w:rsid w:val="00975222"/>
    <w:rsid w:val="009753D4"/>
    <w:rsid w:val="009769B6"/>
    <w:rsid w:val="009805CC"/>
    <w:rsid w:val="009805EA"/>
    <w:rsid w:val="00981CAC"/>
    <w:rsid w:val="009820D3"/>
    <w:rsid w:val="009823CF"/>
    <w:rsid w:val="009827A8"/>
    <w:rsid w:val="00982D2F"/>
    <w:rsid w:val="00983D93"/>
    <w:rsid w:val="00984122"/>
    <w:rsid w:val="009844DB"/>
    <w:rsid w:val="009855C5"/>
    <w:rsid w:val="00985A31"/>
    <w:rsid w:val="00985F19"/>
    <w:rsid w:val="009867C6"/>
    <w:rsid w:val="00986C98"/>
    <w:rsid w:val="00986F11"/>
    <w:rsid w:val="009870B4"/>
    <w:rsid w:val="00987295"/>
    <w:rsid w:val="00987EDD"/>
    <w:rsid w:val="009907EE"/>
    <w:rsid w:val="00990982"/>
    <w:rsid w:val="00990EAE"/>
    <w:rsid w:val="00990F2F"/>
    <w:rsid w:val="00990F32"/>
    <w:rsid w:val="009910B7"/>
    <w:rsid w:val="00991314"/>
    <w:rsid w:val="00991790"/>
    <w:rsid w:val="009918B6"/>
    <w:rsid w:val="00991BB1"/>
    <w:rsid w:val="00991C17"/>
    <w:rsid w:val="00992282"/>
    <w:rsid w:val="009922A9"/>
    <w:rsid w:val="009923C2"/>
    <w:rsid w:val="009925FC"/>
    <w:rsid w:val="00992ABB"/>
    <w:rsid w:val="00992DC4"/>
    <w:rsid w:val="00993CC1"/>
    <w:rsid w:val="00993FC5"/>
    <w:rsid w:val="009949E0"/>
    <w:rsid w:val="00994F54"/>
    <w:rsid w:val="009951E4"/>
    <w:rsid w:val="00995996"/>
    <w:rsid w:val="00995D4D"/>
    <w:rsid w:val="00995F11"/>
    <w:rsid w:val="00996204"/>
    <w:rsid w:val="00996E36"/>
    <w:rsid w:val="00996E93"/>
    <w:rsid w:val="0099740F"/>
    <w:rsid w:val="00997480"/>
    <w:rsid w:val="00997508"/>
    <w:rsid w:val="009A0274"/>
    <w:rsid w:val="009A03B5"/>
    <w:rsid w:val="009A05D8"/>
    <w:rsid w:val="009A068B"/>
    <w:rsid w:val="009A1032"/>
    <w:rsid w:val="009A121C"/>
    <w:rsid w:val="009A126E"/>
    <w:rsid w:val="009A18CB"/>
    <w:rsid w:val="009A1B87"/>
    <w:rsid w:val="009A1CA5"/>
    <w:rsid w:val="009A249E"/>
    <w:rsid w:val="009A2A94"/>
    <w:rsid w:val="009A2AC4"/>
    <w:rsid w:val="009A2F4F"/>
    <w:rsid w:val="009A35F4"/>
    <w:rsid w:val="009A3966"/>
    <w:rsid w:val="009A438F"/>
    <w:rsid w:val="009A4474"/>
    <w:rsid w:val="009A542D"/>
    <w:rsid w:val="009A6ED9"/>
    <w:rsid w:val="009A6F9E"/>
    <w:rsid w:val="009A7B30"/>
    <w:rsid w:val="009B00DD"/>
    <w:rsid w:val="009B0D38"/>
    <w:rsid w:val="009B11C9"/>
    <w:rsid w:val="009B136C"/>
    <w:rsid w:val="009B14B7"/>
    <w:rsid w:val="009B1501"/>
    <w:rsid w:val="009B15F5"/>
    <w:rsid w:val="009B16AD"/>
    <w:rsid w:val="009B1737"/>
    <w:rsid w:val="009B1996"/>
    <w:rsid w:val="009B1ACD"/>
    <w:rsid w:val="009B2275"/>
    <w:rsid w:val="009B3510"/>
    <w:rsid w:val="009B3D53"/>
    <w:rsid w:val="009B4BE3"/>
    <w:rsid w:val="009B54DD"/>
    <w:rsid w:val="009B5575"/>
    <w:rsid w:val="009B582D"/>
    <w:rsid w:val="009B6347"/>
    <w:rsid w:val="009B6541"/>
    <w:rsid w:val="009B6647"/>
    <w:rsid w:val="009B68B9"/>
    <w:rsid w:val="009B6934"/>
    <w:rsid w:val="009B695B"/>
    <w:rsid w:val="009B6A55"/>
    <w:rsid w:val="009B6EA5"/>
    <w:rsid w:val="009B6ECE"/>
    <w:rsid w:val="009C06AD"/>
    <w:rsid w:val="009C0A81"/>
    <w:rsid w:val="009C0D22"/>
    <w:rsid w:val="009C0E5B"/>
    <w:rsid w:val="009C1350"/>
    <w:rsid w:val="009C1A46"/>
    <w:rsid w:val="009C295F"/>
    <w:rsid w:val="009C2E32"/>
    <w:rsid w:val="009C32A4"/>
    <w:rsid w:val="009C35D1"/>
    <w:rsid w:val="009C3953"/>
    <w:rsid w:val="009C410E"/>
    <w:rsid w:val="009C4577"/>
    <w:rsid w:val="009C485B"/>
    <w:rsid w:val="009C4E94"/>
    <w:rsid w:val="009C5B9C"/>
    <w:rsid w:val="009C6375"/>
    <w:rsid w:val="009C6479"/>
    <w:rsid w:val="009C679A"/>
    <w:rsid w:val="009C79A0"/>
    <w:rsid w:val="009C7A7F"/>
    <w:rsid w:val="009C7B39"/>
    <w:rsid w:val="009C7E07"/>
    <w:rsid w:val="009C7F18"/>
    <w:rsid w:val="009C7F82"/>
    <w:rsid w:val="009D0EE1"/>
    <w:rsid w:val="009D0F1F"/>
    <w:rsid w:val="009D0FB5"/>
    <w:rsid w:val="009D19B6"/>
    <w:rsid w:val="009D26C4"/>
    <w:rsid w:val="009D2A51"/>
    <w:rsid w:val="009D3415"/>
    <w:rsid w:val="009D346B"/>
    <w:rsid w:val="009D3519"/>
    <w:rsid w:val="009D3E84"/>
    <w:rsid w:val="009D4CE9"/>
    <w:rsid w:val="009D557D"/>
    <w:rsid w:val="009D5E16"/>
    <w:rsid w:val="009D5E9E"/>
    <w:rsid w:val="009D5FA3"/>
    <w:rsid w:val="009D683E"/>
    <w:rsid w:val="009D7E3E"/>
    <w:rsid w:val="009E1D48"/>
    <w:rsid w:val="009E25CE"/>
    <w:rsid w:val="009E2780"/>
    <w:rsid w:val="009E397E"/>
    <w:rsid w:val="009E3AFD"/>
    <w:rsid w:val="009E3B22"/>
    <w:rsid w:val="009E425D"/>
    <w:rsid w:val="009E45E5"/>
    <w:rsid w:val="009E4E28"/>
    <w:rsid w:val="009E51DC"/>
    <w:rsid w:val="009E5278"/>
    <w:rsid w:val="009E5297"/>
    <w:rsid w:val="009E52A9"/>
    <w:rsid w:val="009E59CC"/>
    <w:rsid w:val="009E642F"/>
    <w:rsid w:val="009E6442"/>
    <w:rsid w:val="009E6B5D"/>
    <w:rsid w:val="009E7780"/>
    <w:rsid w:val="009E7945"/>
    <w:rsid w:val="009E7A51"/>
    <w:rsid w:val="009F020D"/>
    <w:rsid w:val="009F029A"/>
    <w:rsid w:val="009F0697"/>
    <w:rsid w:val="009F0A82"/>
    <w:rsid w:val="009F0FF5"/>
    <w:rsid w:val="009F2574"/>
    <w:rsid w:val="009F2B93"/>
    <w:rsid w:val="009F2E98"/>
    <w:rsid w:val="009F3A7E"/>
    <w:rsid w:val="009F3B9D"/>
    <w:rsid w:val="009F4244"/>
    <w:rsid w:val="009F4706"/>
    <w:rsid w:val="009F4774"/>
    <w:rsid w:val="009F47B5"/>
    <w:rsid w:val="009F47F2"/>
    <w:rsid w:val="009F4C5E"/>
    <w:rsid w:val="009F662E"/>
    <w:rsid w:val="009F67B2"/>
    <w:rsid w:val="009F6C2E"/>
    <w:rsid w:val="009F6E1F"/>
    <w:rsid w:val="009F73FE"/>
    <w:rsid w:val="009F7748"/>
    <w:rsid w:val="009F77A7"/>
    <w:rsid w:val="009F7AD6"/>
    <w:rsid w:val="00A00123"/>
    <w:rsid w:val="00A00B8E"/>
    <w:rsid w:val="00A00E75"/>
    <w:rsid w:val="00A0100D"/>
    <w:rsid w:val="00A01BFF"/>
    <w:rsid w:val="00A02824"/>
    <w:rsid w:val="00A029E0"/>
    <w:rsid w:val="00A02FB5"/>
    <w:rsid w:val="00A03019"/>
    <w:rsid w:val="00A0314D"/>
    <w:rsid w:val="00A035C7"/>
    <w:rsid w:val="00A04154"/>
    <w:rsid w:val="00A04201"/>
    <w:rsid w:val="00A051B3"/>
    <w:rsid w:val="00A058C3"/>
    <w:rsid w:val="00A05BEB"/>
    <w:rsid w:val="00A05C74"/>
    <w:rsid w:val="00A064DB"/>
    <w:rsid w:val="00A06828"/>
    <w:rsid w:val="00A07639"/>
    <w:rsid w:val="00A076A6"/>
    <w:rsid w:val="00A07AB9"/>
    <w:rsid w:val="00A07B67"/>
    <w:rsid w:val="00A10020"/>
    <w:rsid w:val="00A10646"/>
    <w:rsid w:val="00A109AC"/>
    <w:rsid w:val="00A10D0E"/>
    <w:rsid w:val="00A10D21"/>
    <w:rsid w:val="00A121FE"/>
    <w:rsid w:val="00A1234E"/>
    <w:rsid w:val="00A1279B"/>
    <w:rsid w:val="00A12BB3"/>
    <w:rsid w:val="00A12DE2"/>
    <w:rsid w:val="00A1312F"/>
    <w:rsid w:val="00A13BF5"/>
    <w:rsid w:val="00A13D91"/>
    <w:rsid w:val="00A13DC4"/>
    <w:rsid w:val="00A14269"/>
    <w:rsid w:val="00A1441A"/>
    <w:rsid w:val="00A15500"/>
    <w:rsid w:val="00A1551C"/>
    <w:rsid w:val="00A15CD5"/>
    <w:rsid w:val="00A15E60"/>
    <w:rsid w:val="00A15EF8"/>
    <w:rsid w:val="00A160C1"/>
    <w:rsid w:val="00A164DC"/>
    <w:rsid w:val="00A16707"/>
    <w:rsid w:val="00A16B0B"/>
    <w:rsid w:val="00A16C17"/>
    <w:rsid w:val="00A16CC6"/>
    <w:rsid w:val="00A176C8"/>
    <w:rsid w:val="00A17D02"/>
    <w:rsid w:val="00A20AB4"/>
    <w:rsid w:val="00A20AF0"/>
    <w:rsid w:val="00A2195B"/>
    <w:rsid w:val="00A21F17"/>
    <w:rsid w:val="00A22C34"/>
    <w:rsid w:val="00A22EA8"/>
    <w:rsid w:val="00A23F3F"/>
    <w:rsid w:val="00A248BF"/>
    <w:rsid w:val="00A2537F"/>
    <w:rsid w:val="00A2599E"/>
    <w:rsid w:val="00A2606C"/>
    <w:rsid w:val="00A3052D"/>
    <w:rsid w:val="00A30861"/>
    <w:rsid w:val="00A318C2"/>
    <w:rsid w:val="00A31E61"/>
    <w:rsid w:val="00A31FC2"/>
    <w:rsid w:val="00A322BD"/>
    <w:rsid w:val="00A32C3F"/>
    <w:rsid w:val="00A32F72"/>
    <w:rsid w:val="00A33B10"/>
    <w:rsid w:val="00A33BDD"/>
    <w:rsid w:val="00A33CA4"/>
    <w:rsid w:val="00A33DB3"/>
    <w:rsid w:val="00A3410B"/>
    <w:rsid w:val="00A346A4"/>
    <w:rsid w:val="00A34FFC"/>
    <w:rsid w:val="00A368D1"/>
    <w:rsid w:val="00A37468"/>
    <w:rsid w:val="00A377F0"/>
    <w:rsid w:val="00A37938"/>
    <w:rsid w:val="00A40960"/>
    <w:rsid w:val="00A416ED"/>
    <w:rsid w:val="00A4193C"/>
    <w:rsid w:val="00A41E8F"/>
    <w:rsid w:val="00A424CE"/>
    <w:rsid w:val="00A42A7C"/>
    <w:rsid w:val="00A43D36"/>
    <w:rsid w:val="00A44056"/>
    <w:rsid w:val="00A44126"/>
    <w:rsid w:val="00A450A7"/>
    <w:rsid w:val="00A4526E"/>
    <w:rsid w:val="00A452C6"/>
    <w:rsid w:val="00A4534C"/>
    <w:rsid w:val="00A45E1D"/>
    <w:rsid w:val="00A45FBF"/>
    <w:rsid w:val="00A46247"/>
    <w:rsid w:val="00A4674E"/>
    <w:rsid w:val="00A46C22"/>
    <w:rsid w:val="00A4732F"/>
    <w:rsid w:val="00A47C1A"/>
    <w:rsid w:val="00A47F0C"/>
    <w:rsid w:val="00A51205"/>
    <w:rsid w:val="00A52CE7"/>
    <w:rsid w:val="00A52F9E"/>
    <w:rsid w:val="00A53170"/>
    <w:rsid w:val="00A5328D"/>
    <w:rsid w:val="00A53AC2"/>
    <w:rsid w:val="00A53F3C"/>
    <w:rsid w:val="00A541C8"/>
    <w:rsid w:val="00A542D5"/>
    <w:rsid w:val="00A5440E"/>
    <w:rsid w:val="00A54A0C"/>
    <w:rsid w:val="00A54CEC"/>
    <w:rsid w:val="00A54FA8"/>
    <w:rsid w:val="00A552D0"/>
    <w:rsid w:val="00A55319"/>
    <w:rsid w:val="00A56292"/>
    <w:rsid w:val="00A56915"/>
    <w:rsid w:val="00A56C88"/>
    <w:rsid w:val="00A5774C"/>
    <w:rsid w:val="00A579FA"/>
    <w:rsid w:val="00A57A86"/>
    <w:rsid w:val="00A6091E"/>
    <w:rsid w:val="00A60B32"/>
    <w:rsid w:val="00A6173D"/>
    <w:rsid w:val="00A617C9"/>
    <w:rsid w:val="00A623C5"/>
    <w:rsid w:val="00A6323B"/>
    <w:rsid w:val="00A63ED2"/>
    <w:rsid w:val="00A64224"/>
    <w:rsid w:val="00A6480B"/>
    <w:rsid w:val="00A64C17"/>
    <w:rsid w:val="00A64CB7"/>
    <w:rsid w:val="00A66115"/>
    <w:rsid w:val="00A663D4"/>
    <w:rsid w:val="00A66DBF"/>
    <w:rsid w:val="00A66E88"/>
    <w:rsid w:val="00A67487"/>
    <w:rsid w:val="00A6778E"/>
    <w:rsid w:val="00A67808"/>
    <w:rsid w:val="00A67CC5"/>
    <w:rsid w:val="00A70074"/>
    <w:rsid w:val="00A70146"/>
    <w:rsid w:val="00A706B2"/>
    <w:rsid w:val="00A70747"/>
    <w:rsid w:val="00A70B51"/>
    <w:rsid w:val="00A70CBF"/>
    <w:rsid w:val="00A70EC1"/>
    <w:rsid w:val="00A7131D"/>
    <w:rsid w:val="00A7168D"/>
    <w:rsid w:val="00A725C8"/>
    <w:rsid w:val="00A72AAF"/>
    <w:rsid w:val="00A73530"/>
    <w:rsid w:val="00A736AE"/>
    <w:rsid w:val="00A73C73"/>
    <w:rsid w:val="00A74067"/>
    <w:rsid w:val="00A74679"/>
    <w:rsid w:val="00A7475B"/>
    <w:rsid w:val="00A7487D"/>
    <w:rsid w:val="00A74D82"/>
    <w:rsid w:val="00A7502D"/>
    <w:rsid w:val="00A750C6"/>
    <w:rsid w:val="00A752E4"/>
    <w:rsid w:val="00A7550C"/>
    <w:rsid w:val="00A756ED"/>
    <w:rsid w:val="00A76162"/>
    <w:rsid w:val="00A76E05"/>
    <w:rsid w:val="00A772DF"/>
    <w:rsid w:val="00A80435"/>
    <w:rsid w:val="00A8069E"/>
    <w:rsid w:val="00A8083A"/>
    <w:rsid w:val="00A80A7D"/>
    <w:rsid w:val="00A80D9A"/>
    <w:rsid w:val="00A8180C"/>
    <w:rsid w:val="00A81D3F"/>
    <w:rsid w:val="00A823A9"/>
    <w:rsid w:val="00A8261E"/>
    <w:rsid w:val="00A82EEC"/>
    <w:rsid w:val="00A8337F"/>
    <w:rsid w:val="00A83591"/>
    <w:rsid w:val="00A835EC"/>
    <w:rsid w:val="00A8360E"/>
    <w:rsid w:val="00A83705"/>
    <w:rsid w:val="00A84864"/>
    <w:rsid w:val="00A852DF"/>
    <w:rsid w:val="00A85498"/>
    <w:rsid w:val="00A85507"/>
    <w:rsid w:val="00A85E1C"/>
    <w:rsid w:val="00A87A83"/>
    <w:rsid w:val="00A87AAB"/>
    <w:rsid w:val="00A87E10"/>
    <w:rsid w:val="00A90227"/>
    <w:rsid w:val="00A9030B"/>
    <w:rsid w:val="00A90FE5"/>
    <w:rsid w:val="00A910A5"/>
    <w:rsid w:val="00A913BB"/>
    <w:rsid w:val="00A91E5D"/>
    <w:rsid w:val="00A92234"/>
    <w:rsid w:val="00A929FC"/>
    <w:rsid w:val="00A929FD"/>
    <w:rsid w:val="00A93446"/>
    <w:rsid w:val="00A934BB"/>
    <w:rsid w:val="00A93777"/>
    <w:rsid w:val="00A93810"/>
    <w:rsid w:val="00A93B25"/>
    <w:rsid w:val="00A94C3E"/>
    <w:rsid w:val="00A94F1E"/>
    <w:rsid w:val="00A95498"/>
    <w:rsid w:val="00A95762"/>
    <w:rsid w:val="00A95B44"/>
    <w:rsid w:val="00A96067"/>
    <w:rsid w:val="00A975AB"/>
    <w:rsid w:val="00A975E0"/>
    <w:rsid w:val="00A97711"/>
    <w:rsid w:val="00A97E50"/>
    <w:rsid w:val="00A97F90"/>
    <w:rsid w:val="00AA0795"/>
    <w:rsid w:val="00AA0B44"/>
    <w:rsid w:val="00AA0FA5"/>
    <w:rsid w:val="00AA0FCF"/>
    <w:rsid w:val="00AA14C4"/>
    <w:rsid w:val="00AA175B"/>
    <w:rsid w:val="00AA1879"/>
    <w:rsid w:val="00AA1D69"/>
    <w:rsid w:val="00AA1E11"/>
    <w:rsid w:val="00AA27F9"/>
    <w:rsid w:val="00AA3045"/>
    <w:rsid w:val="00AA3083"/>
    <w:rsid w:val="00AA312D"/>
    <w:rsid w:val="00AA4DD6"/>
    <w:rsid w:val="00AA554F"/>
    <w:rsid w:val="00AA5A98"/>
    <w:rsid w:val="00AA76E0"/>
    <w:rsid w:val="00AA7AE8"/>
    <w:rsid w:val="00AA7CB1"/>
    <w:rsid w:val="00AB0B6B"/>
    <w:rsid w:val="00AB0CFD"/>
    <w:rsid w:val="00AB190D"/>
    <w:rsid w:val="00AB1BDA"/>
    <w:rsid w:val="00AB1E24"/>
    <w:rsid w:val="00AB3218"/>
    <w:rsid w:val="00AB3C4B"/>
    <w:rsid w:val="00AB3CF9"/>
    <w:rsid w:val="00AB411F"/>
    <w:rsid w:val="00AB43CB"/>
    <w:rsid w:val="00AB46FB"/>
    <w:rsid w:val="00AB4D9D"/>
    <w:rsid w:val="00AB5A1A"/>
    <w:rsid w:val="00AB5B6B"/>
    <w:rsid w:val="00AB5C42"/>
    <w:rsid w:val="00AB616F"/>
    <w:rsid w:val="00AB6948"/>
    <w:rsid w:val="00AB6FD3"/>
    <w:rsid w:val="00AB7278"/>
    <w:rsid w:val="00AB7F2F"/>
    <w:rsid w:val="00AB7F3E"/>
    <w:rsid w:val="00AC012F"/>
    <w:rsid w:val="00AC0C9E"/>
    <w:rsid w:val="00AC0D0A"/>
    <w:rsid w:val="00AC0FD9"/>
    <w:rsid w:val="00AC132B"/>
    <w:rsid w:val="00AC1949"/>
    <w:rsid w:val="00AC2138"/>
    <w:rsid w:val="00AC3DCA"/>
    <w:rsid w:val="00AC3DEF"/>
    <w:rsid w:val="00AC4F7C"/>
    <w:rsid w:val="00AC5B12"/>
    <w:rsid w:val="00AC5C2F"/>
    <w:rsid w:val="00AC61C3"/>
    <w:rsid w:val="00AC66A6"/>
    <w:rsid w:val="00AC6B2E"/>
    <w:rsid w:val="00AC72EF"/>
    <w:rsid w:val="00AC7A6D"/>
    <w:rsid w:val="00AC7C5C"/>
    <w:rsid w:val="00AC7CFE"/>
    <w:rsid w:val="00AC7DD6"/>
    <w:rsid w:val="00AD0044"/>
    <w:rsid w:val="00AD0BB7"/>
    <w:rsid w:val="00AD0F76"/>
    <w:rsid w:val="00AD1375"/>
    <w:rsid w:val="00AD13A3"/>
    <w:rsid w:val="00AD13A5"/>
    <w:rsid w:val="00AD19D6"/>
    <w:rsid w:val="00AD202C"/>
    <w:rsid w:val="00AD280D"/>
    <w:rsid w:val="00AD2865"/>
    <w:rsid w:val="00AD2C02"/>
    <w:rsid w:val="00AD3578"/>
    <w:rsid w:val="00AD3C6A"/>
    <w:rsid w:val="00AD3FA5"/>
    <w:rsid w:val="00AD4243"/>
    <w:rsid w:val="00AD4466"/>
    <w:rsid w:val="00AD45C6"/>
    <w:rsid w:val="00AD50C7"/>
    <w:rsid w:val="00AD5D7F"/>
    <w:rsid w:val="00AD5DC3"/>
    <w:rsid w:val="00AD6349"/>
    <w:rsid w:val="00AD6590"/>
    <w:rsid w:val="00AD6A1F"/>
    <w:rsid w:val="00AD7152"/>
    <w:rsid w:val="00AD725E"/>
    <w:rsid w:val="00AD740A"/>
    <w:rsid w:val="00AD777D"/>
    <w:rsid w:val="00AD7D46"/>
    <w:rsid w:val="00AE0AC9"/>
    <w:rsid w:val="00AE0FEA"/>
    <w:rsid w:val="00AE1428"/>
    <w:rsid w:val="00AE1E2E"/>
    <w:rsid w:val="00AE2307"/>
    <w:rsid w:val="00AE2564"/>
    <w:rsid w:val="00AE2613"/>
    <w:rsid w:val="00AE2757"/>
    <w:rsid w:val="00AE2F1F"/>
    <w:rsid w:val="00AE3081"/>
    <w:rsid w:val="00AE3543"/>
    <w:rsid w:val="00AE3CC4"/>
    <w:rsid w:val="00AE4565"/>
    <w:rsid w:val="00AE459B"/>
    <w:rsid w:val="00AE5945"/>
    <w:rsid w:val="00AE5F21"/>
    <w:rsid w:val="00AE62AA"/>
    <w:rsid w:val="00AE63B1"/>
    <w:rsid w:val="00AE695F"/>
    <w:rsid w:val="00AE6A41"/>
    <w:rsid w:val="00AE7688"/>
    <w:rsid w:val="00AE7DBB"/>
    <w:rsid w:val="00AF04C4"/>
    <w:rsid w:val="00AF05AA"/>
    <w:rsid w:val="00AF06E2"/>
    <w:rsid w:val="00AF0B1C"/>
    <w:rsid w:val="00AF0D0A"/>
    <w:rsid w:val="00AF1852"/>
    <w:rsid w:val="00AF1944"/>
    <w:rsid w:val="00AF38F1"/>
    <w:rsid w:val="00AF4309"/>
    <w:rsid w:val="00AF44E0"/>
    <w:rsid w:val="00AF4668"/>
    <w:rsid w:val="00AF6ABD"/>
    <w:rsid w:val="00AF6DB0"/>
    <w:rsid w:val="00AF7470"/>
    <w:rsid w:val="00AF7590"/>
    <w:rsid w:val="00B00133"/>
    <w:rsid w:val="00B00E03"/>
    <w:rsid w:val="00B014DE"/>
    <w:rsid w:val="00B0247D"/>
    <w:rsid w:val="00B02CEA"/>
    <w:rsid w:val="00B02DFB"/>
    <w:rsid w:val="00B03428"/>
    <w:rsid w:val="00B03A62"/>
    <w:rsid w:val="00B0470F"/>
    <w:rsid w:val="00B0504C"/>
    <w:rsid w:val="00B05333"/>
    <w:rsid w:val="00B05DD1"/>
    <w:rsid w:val="00B05DFE"/>
    <w:rsid w:val="00B05FEA"/>
    <w:rsid w:val="00B06162"/>
    <w:rsid w:val="00B066C8"/>
    <w:rsid w:val="00B06F9F"/>
    <w:rsid w:val="00B07DC4"/>
    <w:rsid w:val="00B10036"/>
    <w:rsid w:val="00B10311"/>
    <w:rsid w:val="00B10DB9"/>
    <w:rsid w:val="00B11A21"/>
    <w:rsid w:val="00B11A45"/>
    <w:rsid w:val="00B12AA0"/>
    <w:rsid w:val="00B12F96"/>
    <w:rsid w:val="00B13877"/>
    <w:rsid w:val="00B13B2B"/>
    <w:rsid w:val="00B14029"/>
    <w:rsid w:val="00B144EB"/>
    <w:rsid w:val="00B153CC"/>
    <w:rsid w:val="00B1677E"/>
    <w:rsid w:val="00B16DD6"/>
    <w:rsid w:val="00B178FA"/>
    <w:rsid w:val="00B17F9D"/>
    <w:rsid w:val="00B2070F"/>
    <w:rsid w:val="00B20764"/>
    <w:rsid w:val="00B21231"/>
    <w:rsid w:val="00B213C1"/>
    <w:rsid w:val="00B218FD"/>
    <w:rsid w:val="00B2297A"/>
    <w:rsid w:val="00B2317D"/>
    <w:rsid w:val="00B23642"/>
    <w:rsid w:val="00B238FF"/>
    <w:rsid w:val="00B23C6F"/>
    <w:rsid w:val="00B24104"/>
    <w:rsid w:val="00B249B1"/>
    <w:rsid w:val="00B24E41"/>
    <w:rsid w:val="00B2537B"/>
    <w:rsid w:val="00B27051"/>
    <w:rsid w:val="00B30B7B"/>
    <w:rsid w:val="00B30D19"/>
    <w:rsid w:val="00B30E21"/>
    <w:rsid w:val="00B3117B"/>
    <w:rsid w:val="00B31F90"/>
    <w:rsid w:val="00B328C7"/>
    <w:rsid w:val="00B32B95"/>
    <w:rsid w:val="00B32E56"/>
    <w:rsid w:val="00B3390F"/>
    <w:rsid w:val="00B33954"/>
    <w:rsid w:val="00B34716"/>
    <w:rsid w:val="00B34D35"/>
    <w:rsid w:val="00B354C6"/>
    <w:rsid w:val="00B3605E"/>
    <w:rsid w:val="00B3634B"/>
    <w:rsid w:val="00B3692C"/>
    <w:rsid w:val="00B36E41"/>
    <w:rsid w:val="00B36F6B"/>
    <w:rsid w:val="00B37492"/>
    <w:rsid w:val="00B374EA"/>
    <w:rsid w:val="00B37989"/>
    <w:rsid w:val="00B40DDE"/>
    <w:rsid w:val="00B41170"/>
    <w:rsid w:val="00B41179"/>
    <w:rsid w:val="00B417C5"/>
    <w:rsid w:val="00B4220F"/>
    <w:rsid w:val="00B42D2B"/>
    <w:rsid w:val="00B430E2"/>
    <w:rsid w:val="00B4339D"/>
    <w:rsid w:val="00B43F74"/>
    <w:rsid w:val="00B4547B"/>
    <w:rsid w:val="00B455F2"/>
    <w:rsid w:val="00B45AC0"/>
    <w:rsid w:val="00B4622E"/>
    <w:rsid w:val="00B46A5E"/>
    <w:rsid w:val="00B47117"/>
    <w:rsid w:val="00B472D1"/>
    <w:rsid w:val="00B47348"/>
    <w:rsid w:val="00B47A04"/>
    <w:rsid w:val="00B47D86"/>
    <w:rsid w:val="00B502DF"/>
    <w:rsid w:val="00B50941"/>
    <w:rsid w:val="00B5176E"/>
    <w:rsid w:val="00B51FF0"/>
    <w:rsid w:val="00B521C1"/>
    <w:rsid w:val="00B52CF6"/>
    <w:rsid w:val="00B533AB"/>
    <w:rsid w:val="00B545A8"/>
    <w:rsid w:val="00B54CBC"/>
    <w:rsid w:val="00B55856"/>
    <w:rsid w:val="00B55CF8"/>
    <w:rsid w:val="00B55F16"/>
    <w:rsid w:val="00B5636D"/>
    <w:rsid w:val="00B56381"/>
    <w:rsid w:val="00B56E30"/>
    <w:rsid w:val="00B57703"/>
    <w:rsid w:val="00B60872"/>
    <w:rsid w:val="00B6096B"/>
    <w:rsid w:val="00B60BD9"/>
    <w:rsid w:val="00B613DE"/>
    <w:rsid w:val="00B61685"/>
    <w:rsid w:val="00B61830"/>
    <w:rsid w:val="00B61949"/>
    <w:rsid w:val="00B622A1"/>
    <w:rsid w:val="00B62321"/>
    <w:rsid w:val="00B62375"/>
    <w:rsid w:val="00B63AD5"/>
    <w:rsid w:val="00B64074"/>
    <w:rsid w:val="00B641C4"/>
    <w:rsid w:val="00B64834"/>
    <w:rsid w:val="00B65190"/>
    <w:rsid w:val="00B6577C"/>
    <w:rsid w:val="00B663AC"/>
    <w:rsid w:val="00B66877"/>
    <w:rsid w:val="00B6688C"/>
    <w:rsid w:val="00B6699E"/>
    <w:rsid w:val="00B67464"/>
    <w:rsid w:val="00B67511"/>
    <w:rsid w:val="00B6776A"/>
    <w:rsid w:val="00B67F95"/>
    <w:rsid w:val="00B7022F"/>
    <w:rsid w:val="00B70AE9"/>
    <w:rsid w:val="00B70F96"/>
    <w:rsid w:val="00B720C9"/>
    <w:rsid w:val="00B7290E"/>
    <w:rsid w:val="00B72AF5"/>
    <w:rsid w:val="00B72CC1"/>
    <w:rsid w:val="00B72D87"/>
    <w:rsid w:val="00B72E02"/>
    <w:rsid w:val="00B72E7E"/>
    <w:rsid w:val="00B7425F"/>
    <w:rsid w:val="00B742F2"/>
    <w:rsid w:val="00B74A9F"/>
    <w:rsid w:val="00B74BCD"/>
    <w:rsid w:val="00B75FDC"/>
    <w:rsid w:val="00B76171"/>
    <w:rsid w:val="00B762F9"/>
    <w:rsid w:val="00B766EF"/>
    <w:rsid w:val="00B76DA9"/>
    <w:rsid w:val="00B76F3A"/>
    <w:rsid w:val="00B77B0D"/>
    <w:rsid w:val="00B80D39"/>
    <w:rsid w:val="00B810D4"/>
    <w:rsid w:val="00B81244"/>
    <w:rsid w:val="00B81F17"/>
    <w:rsid w:val="00B81FA2"/>
    <w:rsid w:val="00B82049"/>
    <w:rsid w:val="00B820CF"/>
    <w:rsid w:val="00B821A2"/>
    <w:rsid w:val="00B8229E"/>
    <w:rsid w:val="00B8274A"/>
    <w:rsid w:val="00B836C9"/>
    <w:rsid w:val="00B8426C"/>
    <w:rsid w:val="00B848F6"/>
    <w:rsid w:val="00B863FF"/>
    <w:rsid w:val="00B86409"/>
    <w:rsid w:val="00B864BD"/>
    <w:rsid w:val="00B87EAB"/>
    <w:rsid w:val="00B90677"/>
    <w:rsid w:val="00B9085F"/>
    <w:rsid w:val="00B90D59"/>
    <w:rsid w:val="00B911EC"/>
    <w:rsid w:val="00B91E5E"/>
    <w:rsid w:val="00B92FDE"/>
    <w:rsid w:val="00B930FD"/>
    <w:rsid w:val="00B9318B"/>
    <w:rsid w:val="00B934CA"/>
    <w:rsid w:val="00B93541"/>
    <w:rsid w:val="00B93D71"/>
    <w:rsid w:val="00B94033"/>
    <w:rsid w:val="00B94328"/>
    <w:rsid w:val="00B944C6"/>
    <w:rsid w:val="00B9492B"/>
    <w:rsid w:val="00B95C72"/>
    <w:rsid w:val="00B95D0A"/>
    <w:rsid w:val="00B95E6C"/>
    <w:rsid w:val="00B95F1A"/>
    <w:rsid w:val="00B964B7"/>
    <w:rsid w:val="00B96CCB"/>
    <w:rsid w:val="00B97110"/>
    <w:rsid w:val="00B97830"/>
    <w:rsid w:val="00B9791C"/>
    <w:rsid w:val="00B97974"/>
    <w:rsid w:val="00B97FCD"/>
    <w:rsid w:val="00BA0859"/>
    <w:rsid w:val="00BA0ED3"/>
    <w:rsid w:val="00BA0F0A"/>
    <w:rsid w:val="00BA0FDC"/>
    <w:rsid w:val="00BA154E"/>
    <w:rsid w:val="00BA4487"/>
    <w:rsid w:val="00BA4784"/>
    <w:rsid w:val="00BA5E74"/>
    <w:rsid w:val="00BB00A4"/>
    <w:rsid w:val="00BB02C2"/>
    <w:rsid w:val="00BB05AC"/>
    <w:rsid w:val="00BB07C1"/>
    <w:rsid w:val="00BB1311"/>
    <w:rsid w:val="00BB1392"/>
    <w:rsid w:val="00BB1578"/>
    <w:rsid w:val="00BB1E55"/>
    <w:rsid w:val="00BB24C8"/>
    <w:rsid w:val="00BB2560"/>
    <w:rsid w:val="00BB2DD3"/>
    <w:rsid w:val="00BB348B"/>
    <w:rsid w:val="00BB3758"/>
    <w:rsid w:val="00BB41CE"/>
    <w:rsid w:val="00BB43A8"/>
    <w:rsid w:val="00BB4BD6"/>
    <w:rsid w:val="00BB4C0F"/>
    <w:rsid w:val="00BB50BD"/>
    <w:rsid w:val="00BB568B"/>
    <w:rsid w:val="00BB6629"/>
    <w:rsid w:val="00BB70C0"/>
    <w:rsid w:val="00BB751E"/>
    <w:rsid w:val="00BB7946"/>
    <w:rsid w:val="00BC0177"/>
    <w:rsid w:val="00BC0D70"/>
    <w:rsid w:val="00BC1115"/>
    <w:rsid w:val="00BC18D3"/>
    <w:rsid w:val="00BC2070"/>
    <w:rsid w:val="00BC322F"/>
    <w:rsid w:val="00BC348E"/>
    <w:rsid w:val="00BC3544"/>
    <w:rsid w:val="00BC3C47"/>
    <w:rsid w:val="00BC45CA"/>
    <w:rsid w:val="00BC5413"/>
    <w:rsid w:val="00BC5621"/>
    <w:rsid w:val="00BC582C"/>
    <w:rsid w:val="00BC61AA"/>
    <w:rsid w:val="00BC6478"/>
    <w:rsid w:val="00BC64D7"/>
    <w:rsid w:val="00BC650E"/>
    <w:rsid w:val="00BC6D0C"/>
    <w:rsid w:val="00BC76F5"/>
    <w:rsid w:val="00BD01D3"/>
    <w:rsid w:val="00BD10BE"/>
    <w:rsid w:val="00BD1E3C"/>
    <w:rsid w:val="00BD23DE"/>
    <w:rsid w:val="00BD254F"/>
    <w:rsid w:val="00BD2DF8"/>
    <w:rsid w:val="00BD3F65"/>
    <w:rsid w:val="00BD4950"/>
    <w:rsid w:val="00BD4A92"/>
    <w:rsid w:val="00BD5078"/>
    <w:rsid w:val="00BD528A"/>
    <w:rsid w:val="00BD546F"/>
    <w:rsid w:val="00BD5ACC"/>
    <w:rsid w:val="00BD5B66"/>
    <w:rsid w:val="00BD5C8C"/>
    <w:rsid w:val="00BD6361"/>
    <w:rsid w:val="00BD65AC"/>
    <w:rsid w:val="00BD6DC9"/>
    <w:rsid w:val="00BD6F2B"/>
    <w:rsid w:val="00BD7037"/>
    <w:rsid w:val="00BD7210"/>
    <w:rsid w:val="00BD7392"/>
    <w:rsid w:val="00BD7D78"/>
    <w:rsid w:val="00BE0253"/>
    <w:rsid w:val="00BE0D26"/>
    <w:rsid w:val="00BE14BC"/>
    <w:rsid w:val="00BE19FE"/>
    <w:rsid w:val="00BE1A49"/>
    <w:rsid w:val="00BE1B6A"/>
    <w:rsid w:val="00BE2106"/>
    <w:rsid w:val="00BE22F3"/>
    <w:rsid w:val="00BE32AC"/>
    <w:rsid w:val="00BE4636"/>
    <w:rsid w:val="00BE477F"/>
    <w:rsid w:val="00BE5B1A"/>
    <w:rsid w:val="00BE639F"/>
    <w:rsid w:val="00BE6831"/>
    <w:rsid w:val="00BE68A8"/>
    <w:rsid w:val="00BE787C"/>
    <w:rsid w:val="00BF002F"/>
    <w:rsid w:val="00BF0D6C"/>
    <w:rsid w:val="00BF0E82"/>
    <w:rsid w:val="00BF1449"/>
    <w:rsid w:val="00BF1932"/>
    <w:rsid w:val="00BF1C15"/>
    <w:rsid w:val="00BF204C"/>
    <w:rsid w:val="00BF20EC"/>
    <w:rsid w:val="00BF2821"/>
    <w:rsid w:val="00BF293E"/>
    <w:rsid w:val="00BF32BE"/>
    <w:rsid w:val="00BF340D"/>
    <w:rsid w:val="00BF340F"/>
    <w:rsid w:val="00BF3819"/>
    <w:rsid w:val="00BF3DFC"/>
    <w:rsid w:val="00BF48DE"/>
    <w:rsid w:val="00BF547E"/>
    <w:rsid w:val="00BF63F6"/>
    <w:rsid w:val="00BF732E"/>
    <w:rsid w:val="00BF77BE"/>
    <w:rsid w:val="00BF7CCC"/>
    <w:rsid w:val="00BF7E32"/>
    <w:rsid w:val="00C00673"/>
    <w:rsid w:val="00C00A02"/>
    <w:rsid w:val="00C0105F"/>
    <w:rsid w:val="00C01816"/>
    <w:rsid w:val="00C0197F"/>
    <w:rsid w:val="00C01E10"/>
    <w:rsid w:val="00C01E98"/>
    <w:rsid w:val="00C01F33"/>
    <w:rsid w:val="00C02930"/>
    <w:rsid w:val="00C03501"/>
    <w:rsid w:val="00C035CE"/>
    <w:rsid w:val="00C03B97"/>
    <w:rsid w:val="00C041AE"/>
    <w:rsid w:val="00C04496"/>
    <w:rsid w:val="00C04618"/>
    <w:rsid w:val="00C04949"/>
    <w:rsid w:val="00C049E2"/>
    <w:rsid w:val="00C0507A"/>
    <w:rsid w:val="00C054F9"/>
    <w:rsid w:val="00C05835"/>
    <w:rsid w:val="00C06562"/>
    <w:rsid w:val="00C073E3"/>
    <w:rsid w:val="00C1028A"/>
    <w:rsid w:val="00C10D49"/>
    <w:rsid w:val="00C114DC"/>
    <w:rsid w:val="00C117A5"/>
    <w:rsid w:val="00C11923"/>
    <w:rsid w:val="00C11AB8"/>
    <w:rsid w:val="00C138DB"/>
    <w:rsid w:val="00C14235"/>
    <w:rsid w:val="00C14303"/>
    <w:rsid w:val="00C145C7"/>
    <w:rsid w:val="00C14D0A"/>
    <w:rsid w:val="00C151B0"/>
    <w:rsid w:val="00C159EC"/>
    <w:rsid w:val="00C160B0"/>
    <w:rsid w:val="00C16717"/>
    <w:rsid w:val="00C16793"/>
    <w:rsid w:val="00C16B9A"/>
    <w:rsid w:val="00C178B0"/>
    <w:rsid w:val="00C17C35"/>
    <w:rsid w:val="00C17C8B"/>
    <w:rsid w:val="00C20CFC"/>
    <w:rsid w:val="00C21973"/>
    <w:rsid w:val="00C21A51"/>
    <w:rsid w:val="00C22A03"/>
    <w:rsid w:val="00C22C0E"/>
    <w:rsid w:val="00C22FAE"/>
    <w:rsid w:val="00C233BB"/>
    <w:rsid w:val="00C23DF3"/>
    <w:rsid w:val="00C2418F"/>
    <w:rsid w:val="00C248FE"/>
    <w:rsid w:val="00C2494A"/>
    <w:rsid w:val="00C26DA5"/>
    <w:rsid w:val="00C26EB1"/>
    <w:rsid w:val="00C276D4"/>
    <w:rsid w:val="00C27AB2"/>
    <w:rsid w:val="00C30028"/>
    <w:rsid w:val="00C307AB"/>
    <w:rsid w:val="00C3088E"/>
    <w:rsid w:val="00C308A9"/>
    <w:rsid w:val="00C30DC4"/>
    <w:rsid w:val="00C3164F"/>
    <w:rsid w:val="00C318B1"/>
    <w:rsid w:val="00C31A54"/>
    <w:rsid w:val="00C3303E"/>
    <w:rsid w:val="00C335DD"/>
    <w:rsid w:val="00C33F82"/>
    <w:rsid w:val="00C33F92"/>
    <w:rsid w:val="00C342CD"/>
    <w:rsid w:val="00C34BC5"/>
    <w:rsid w:val="00C34BEA"/>
    <w:rsid w:val="00C35188"/>
    <w:rsid w:val="00C35CC1"/>
    <w:rsid w:val="00C35E40"/>
    <w:rsid w:val="00C36436"/>
    <w:rsid w:val="00C36699"/>
    <w:rsid w:val="00C366A7"/>
    <w:rsid w:val="00C367D5"/>
    <w:rsid w:val="00C369C7"/>
    <w:rsid w:val="00C404FF"/>
    <w:rsid w:val="00C40600"/>
    <w:rsid w:val="00C40BB3"/>
    <w:rsid w:val="00C41B5B"/>
    <w:rsid w:val="00C41B9B"/>
    <w:rsid w:val="00C42972"/>
    <w:rsid w:val="00C42F42"/>
    <w:rsid w:val="00C4348A"/>
    <w:rsid w:val="00C439AF"/>
    <w:rsid w:val="00C443C2"/>
    <w:rsid w:val="00C45379"/>
    <w:rsid w:val="00C45653"/>
    <w:rsid w:val="00C45673"/>
    <w:rsid w:val="00C4601E"/>
    <w:rsid w:val="00C46396"/>
    <w:rsid w:val="00C4679D"/>
    <w:rsid w:val="00C46CD4"/>
    <w:rsid w:val="00C472B1"/>
    <w:rsid w:val="00C47849"/>
    <w:rsid w:val="00C47A8D"/>
    <w:rsid w:val="00C505C1"/>
    <w:rsid w:val="00C50B7B"/>
    <w:rsid w:val="00C50F0D"/>
    <w:rsid w:val="00C51019"/>
    <w:rsid w:val="00C5207D"/>
    <w:rsid w:val="00C52916"/>
    <w:rsid w:val="00C53219"/>
    <w:rsid w:val="00C53B27"/>
    <w:rsid w:val="00C5417F"/>
    <w:rsid w:val="00C5447D"/>
    <w:rsid w:val="00C54739"/>
    <w:rsid w:val="00C550FE"/>
    <w:rsid w:val="00C55388"/>
    <w:rsid w:val="00C55CC0"/>
    <w:rsid w:val="00C56126"/>
    <w:rsid w:val="00C56C1A"/>
    <w:rsid w:val="00C56D58"/>
    <w:rsid w:val="00C576B8"/>
    <w:rsid w:val="00C57742"/>
    <w:rsid w:val="00C57A84"/>
    <w:rsid w:val="00C57BF4"/>
    <w:rsid w:val="00C57DD0"/>
    <w:rsid w:val="00C60C24"/>
    <w:rsid w:val="00C6152A"/>
    <w:rsid w:val="00C615B0"/>
    <w:rsid w:val="00C61646"/>
    <w:rsid w:val="00C619AF"/>
    <w:rsid w:val="00C61E38"/>
    <w:rsid w:val="00C62930"/>
    <w:rsid w:val="00C632FD"/>
    <w:rsid w:val="00C6363A"/>
    <w:rsid w:val="00C6366D"/>
    <w:rsid w:val="00C638A7"/>
    <w:rsid w:val="00C63B0E"/>
    <w:rsid w:val="00C63CDB"/>
    <w:rsid w:val="00C64025"/>
    <w:rsid w:val="00C6406C"/>
    <w:rsid w:val="00C645CB"/>
    <w:rsid w:val="00C6460B"/>
    <w:rsid w:val="00C64615"/>
    <w:rsid w:val="00C64921"/>
    <w:rsid w:val="00C64D93"/>
    <w:rsid w:val="00C65168"/>
    <w:rsid w:val="00C651AA"/>
    <w:rsid w:val="00C651E4"/>
    <w:rsid w:val="00C657A0"/>
    <w:rsid w:val="00C65C3C"/>
    <w:rsid w:val="00C65CE9"/>
    <w:rsid w:val="00C665F0"/>
    <w:rsid w:val="00C66643"/>
    <w:rsid w:val="00C669B8"/>
    <w:rsid w:val="00C66DB7"/>
    <w:rsid w:val="00C67C4D"/>
    <w:rsid w:val="00C70189"/>
    <w:rsid w:val="00C71615"/>
    <w:rsid w:val="00C73041"/>
    <w:rsid w:val="00C7336F"/>
    <w:rsid w:val="00C735E8"/>
    <w:rsid w:val="00C73657"/>
    <w:rsid w:val="00C739FF"/>
    <w:rsid w:val="00C741F9"/>
    <w:rsid w:val="00C7497E"/>
    <w:rsid w:val="00C7575C"/>
    <w:rsid w:val="00C75C9A"/>
    <w:rsid w:val="00C75F1A"/>
    <w:rsid w:val="00C767D9"/>
    <w:rsid w:val="00C76F89"/>
    <w:rsid w:val="00C7712F"/>
    <w:rsid w:val="00C77ED6"/>
    <w:rsid w:val="00C77FDE"/>
    <w:rsid w:val="00C80107"/>
    <w:rsid w:val="00C801E8"/>
    <w:rsid w:val="00C80404"/>
    <w:rsid w:val="00C84089"/>
    <w:rsid w:val="00C842E1"/>
    <w:rsid w:val="00C84A50"/>
    <w:rsid w:val="00C852A0"/>
    <w:rsid w:val="00C85DA9"/>
    <w:rsid w:val="00C86196"/>
    <w:rsid w:val="00C8629B"/>
    <w:rsid w:val="00C869F0"/>
    <w:rsid w:val="00C87028"/>
    <w:rsid w:val="00C87D30"/>
    <w:rsid w:val="00C91288"/>
    <w:rsid w:val="00C912A5"/>
    <w:rsid w:val="00C915A3"/>
    <w:rsid w:val="00C91646"/>
    <w:rsid w:val="00C91E6E"/>
    <w:rsid w:val="00C93467"/>
    <w:rsid w:val="00C941FD"/>
    <w:rsid w:val="00C9428E"/>
    <w:rsid w:val="00C94410"/>
    <w:rsid w:val="00C94F5D"/>
    <w:rsid w:val="00C958B2"/>
    <w:rsid w:val="00C95F5E"/>
    <w:rsid w:val="00C96298"/>
    <w:rsid w:val="00C96ED4"/>
    <w:rsid w:val="00C97A47"/>
    <w:rsid w:val="00CA092D"/>
    <w:rsid w:val="00CA0CA3"/>
    <w:rsid w:val="00CA0DBC"/>
    <w:rsid w:val="00CA1918"/>
    <w:rsid w:val="00CA1B4D"/>
    <w:rsid w:val="00CA216A"/>
    <w:rsid w:val="00CA2844"/>
    <w:rsid w:val="00CA2B96"/>
    <w:rsid w:val="00CA35D7"/>
    <w:rsid w:val="00CA3904"/>
    <w:rsid w:val="00CA3CD4"/>
    <w:rsid w:val="00CA3D14"/>
    <w:rsid w:val="00CA3E75"/>
    <w:rsid w:val="00CA4E4B"/>
    <w:rsid w:val="00CA4ECA"/>
    <w:rsid w:val="00CA5199"/>
    <w:rsid w:val="00CA520D"/>
    <w:rsid w:val="00CA5886"/>
    <w:rsid w:val="00CA5940"/>
    <w:rsid w:val="00CA5DBB"/>
    <w:rsid w:val="00CA757D"/>
    <w:rsid w:val="00CA76B6"/>
    <w:rsid w:val="00CA7C69"/>
    <w:rsid w:val="00CA7D29"/>
    <w:rsid w:val="00CB0624"/>
    <w:rsid w:val="00CB0648"/>
    <w:rsid w:val="00CB08B1"/>
    <w:rsid w:val="00CB09EC"/>
    <w:rsid w:val="00CB0DD9"/>
    <w:rsid w:val="00CB17A6"/>
    <w:rsid w:val="00CB1A1C"/>
    <w:rsid w:val="00CB3263"/>
    <w:rsid w:val="00CB3337"/>
    <w:rsid w:val="00CB350D"/>
    <w:rsid w:val="00CB3E61"/>
    <w:rsid w:val="00CB4087"/>
    <w:rsid w:val="00CB453E"/>
    <w:rsid w:val="00CB48BE"/>
    <w:rsid w:val="00CB4DCC"/>
    <w:rsid w:val="00CB4F27"/>
    <w:rsid w:val="00CB4F3E"/>
    <w:rsid w:val="00CB580A"/>
    <w:rsid w:val="00CB5EBE"/>
    <w:rsid w:val="00CB6EB1"/>
    <w:rsid w:val="00CB7605"/>
    <w:rsid w:val="00CB7FBD"/>
    <w:rsid w:val="00CC0695"/>
    <w:rsid w:val="00CC0881"/>
    <w:rsid w:val="00CC11BE"/>
    <w:rsid w:val="00CC143B"/>
    <w:rsid w:val="00CC218B"/>
    <w:rsid w:val="00CC2308"/>
    <w:rsid w:val="00CC3E86"/>
    <w:rsid w:val="00CC432A"/>
    <w:rsid w:val="00CC461A"/>
    <w:rsid w:val="00CC493C"/>
    <w:rsid w:val="00CC5609"/>
    <w:rsid w:val="00CC5AE6"/>
    <w:rsid w:val="00CC646B"/>
    <w:rsid w:val="00CC6949"/>
    <w:rsid w:val="00CC6B1F"/>
    <w:rsid w:val="00CC74A3"/>
    <w:rsid w:val="00CD0095"/>
    <w:rsid w:val="00CD0CBB"/>
    <w:rsid w:val="00CD1012"/>
    <w:rsid w:val="00CD1348"/>
    <w:rsid w:val="00CD13C8"/>
    <w:rsid w:val="00CD19C7"/>
    <w:rsid w:val="00CD2569"/>
    <w:rsid w:val="00CD2A88"/>
    <w:rsid w:val="00CD2B20"/>
    <w:rsid w:val="00CD2B6B"/>
    <w:rsid w:val="00CD2F4B"/>
    <w:rsid w:val="00CD3278"/>
    <w:rsid w:val="00CD3283"/>
    <w:rsid w:val="00CD3BCA"/>
    <w:rsid w:val="00CD3F5F"/>
    <w:rsid w:val="00CD4108"/>
    <w:rsid w:val="00CD47C2"/>
    <w:rsid w:val="00CD488E"/>
    <w:rsid w:val="00CD4AE4"/>
    <w:rsid w:val="00CD5089"/>
    <w:rsid w:val="00CD50DD"/>
    <w:rsid w:val="00CD51E5"/>
    <w:rsid w:val="00CD532B"/>
    <w:rsid w:val="00CD5579"/>
    <w:rsid w:val="00CD5A40"/>
    <w:rsid w:val="00CD5BC0"/>
    <w:rsid w:val="00CD5DFD"/>
    <w:rsid w:val="00CD626D"/>
    <w:rsid w:val="00CD6509"/>
    <w:rsid w:val="00CD6D82"/>
    <w:rsid w:val="00CD7129"/>
    <w:rsid w:val="00CD7E1E"/>
    <w:rsid w:val="00CD7FBC"/>
    <w:rsid w:val="00CE04D8"/>
    <w:rsid w:val="00CE08AF"/>
    <w:rsid w:val="00CE0C07"/>
    <w:rsid w:val="00CE0F01"/>
    <w:rsid w:val="00CE1350"/>
    <w:rsid w:val="00CE1CE5"/>
    <w:rsid w:val="00CE1F3B"/>
    <w:rsid w:val="00CE1F7C"/>
    <w:rsid w:val="00CE26E9"/>
    <w:rsid w:val="00CE398A"/>
    <w:rsid w:val="00CE3A3F"/>
    <w:rsid w:val="00CE3DCB"/>
    <w:rsid w:val="00CE48A8"/>
    <w:rsid w:val="00CE506D"/>
    <w:rsid w:val="00CE5191"/>
    <w:rsid w:val="00CE52AB"/>
    <w:rsid w:val="00CE537B"/>
    <w:rsid w:val="00CE5A04"/>
    <w:rsid w:val="00CE5E12"/>
    <w:rsid w:val="00CE6002"/>
    <w:rsid w:val="00CE618F"/>
    <w:rsid w:val="00CE6566"/>
    <w:rsid w:val="00CE65E4"/>
    <w:rsid w:val="00CE6884"/>
    <w:rsid w:val="00CE6F14"/>
    <w:rsid w:val="00CE780F"/>
    <w:rsid w:val="00CE783D"/>
    <w:rsid w:val="00CE7A45"/>
    <w:rsid w:val="00CE7FAC"/>
    <w:rsid w:val="00CF065D"/>
    <w:rsid w:val="00CF249F"/>
    <w:rsid w:val="00CF2C18"/>
    <w:rsid w:val="00CF322D"/>
    <w:rsid w:val="00CF3650"/>
    <w:rsid w:val="00CF373D"/>
    <w:rsid w:val="00CF404E"/>
    <w:rsid w:val="00CF4081"/>
    <w:rsid w:val="00CF425F"/>
    <w:rsid w:val="00CF42E5"/>
    <w:rsid w:val="00CF45C9"/>
    <w:rsid w:val="00CF480A"/>
    <w:rsid w:val="00CF490D"/>
    <w:rsid w:val="00CF4929"/>
    <w:rsid w:val="00CF5189"/>
    <w:rsid w:val="00CF5E6F"/>
    <w:rsid w:val="00CF60ED"/>
    <w:rsid w:val="00CF659D"/>
    <w:rsid w:val="00CF6891"/>
    <w:rsid w:val="00CF6D4E"/>
    <w:rsid w:val="00CF76EB"/>
    <w:rsid w:val="00D00027"/>
    <w:rsid w:val="00D0024E"/>
    <w:rsid w:val="00D002A7"/>
    <w:rsid w:val="00D00903"/>
    <w:rsid w:val="00D00CEC"/>
    <w:rsid w:val="00D02116"/>
    <w:rsid w:val="00D02560"/>
    <w:rsid w:val="00D0265F"/>
    <w:rsid w:val="00D0313B"/>
    <w:rsid w:val="00D037F9"/>
    <w:rsid w:val="00D03A89"/>
    <w:rsid w:val="00D040A3"/>
    <w:rsid w:val="00D044A3"/>
    <w:rsid w:val="00D044D7"/>
    <w:rsid w:val="00D04517"/>
    <w:rsid w:val="00D045B3"/>
    <w:rsid w:val="00D0469B"/>
    <w:rsid w:val="00D0487F"/>
    <w:rsid w:val="00D048F9"/>
    <w:rsid w:val="00D04A90"/>
    <w:rsid w:val="00D04F1A"/>
    <w:rsid w:val="00D04FD5"/>
    <w:rsid w:val="00D05135"/>
    <w:rsid w:val="00D057D4"/>
    <w:rsid w:val="00D05B22"/>
    <w:rsid w:val="00D0608B"/>
    <w:rsid w:val="00D06860"/>
    <w:rsid w:val="00D07019"/>
    <w:rsid w:val="00D10252"/>
    <w:rsid w:val="00D10635"/>
    <w:rsid w:val="00D10AC9"/>
    <w:rsid w:val="00D1133D"/>
    <w:rsid w:val="00D11548"/>
    <w:rsid w:val="00D119BA"/>
    <w:rsid w:val="00D11EFB"/>
    <w:rsid w:val="00D12484"/>
    <w:rsid w:val="00D12C18"/>
    <w:rsid w:val="00D12CAA"/>
    <w:rsid w:val="00D13838"/>
    <w:rsid w:val="00D1386C"/>
    <w:rsid w:val="00D13ACA"/>
    <w:rsid w:val="00D13B21"/>
    <w:rsid w:val="00D13CE1"/>
    <w:rsid w:val="00D1401A"/>
    <w:rsid w:val="00D14047"/>
    <w:rsid w:val="00D1428B"/>
    <w:rsid w:val="00D143A5"/>
    <w:rsid w:val="00D147CB"/>
    <w:rsid w:val="00D148AB"/>
    <w:rsid w:val="00D1513E"/>
    <w:rsid w:val="00D15386"/>
    <w:rsid w:val="00D15698"/>
    <w:rsid w:val="00D1578C"/>
    <w:rsid w:val="00D16C71"/>
    <w:rsid w:val="00D16CB2"/>
    <w:rsid w:val="00D17262"/>
    <w:rsid w:val="00D17374"/>
    <w:rsid w:val="00D17C8E"/>
    <w:rsid w:val="00D17FE8"/>
    <w:rsid w:val="00D206A1"/>
    <w:rsid w:val="00D20CC4"/>
    <w:rsid w:val="00D20E5E"/>
    <w:rsid w:val="00D210AA"/>
    <w:rsid w:val="00D2117E"/>
    <w:rsid w:val="00D2148B"/>
    <w:rsid w:val="00D219DB"/>
    <w:rsid w:val="00D21D85"/>
    <w:rsid w:val="00D220E0"/>
    <w:rsid w:val="00D224D8"/>
    <w:rsid w:val="00D2285F"/>
    <w:rsid w:val="00D22AB2"/>
    <w:rsid w:val="00D22CEA"/>
    <w:rsid w:val="00D22F8C"/>
    <w:rsid w:val="00D22FC0"/>
    <w:rsid w:val="00D23511"/>
    <w:rsid w:val="00D2355E"/>
    <w:rsid w:val="00D23D21"/>
    <w:rsid w:val="00D23DD5"/>
    <w:rsid w:val="00D23E70"/>
    <w:rsid w:val="00D23EA7"/>
    <w:rsid w:val="00D2429A"/>
    <w:rsid w:val="00D24C6B"/>
    <w:rsid w:val="00D24C71"/>
    <w:rsid w:val="00D24ED0"/>
    <w:rsid w:val="00D24F7A"/>
    <w:rsid w:val="00D2584C"/>
    <w:rsid w:val="00D25F55"/>
    <w:rsid w:val="00D26686"/>
    <w:rsid w:val="00D27594"/>
    <w:rsid w:val="00D2772E"/>
    <w:rsid w:val="00D304B2"/>
    <w:rsid w:val="00D305F9"/>
    <w:rsid w:val="00D310D0"/>
    <w:rsid w:val="00D3155D"/>
    <w:rsid w:val="00D319DB"/>
    <w:rsid w:val="00D3252D"/>
    <w:rsid w:val="00D32B84"/>
    <w:rsid w:val="00D33320"/>
    <w:rsid w:val="00D336CF"/>
    <w:rsid w:val="00D33B90"/>
    <w:rsid w:val="00D33CD2"/>
    <w:rsid w:val="00D34D83"/>
    <w:rsid w:val="00D3557A"/>
    <w:rsid w:val="00D361E3"/>
    <w:rsid w:val="00D361F4"/>
    <w:rsid w:val="00D3638E"/>
    <w:rsid w:val="00D364E7"/>
    <w:rsid w:val="00D36714"/>
    <w:rsid w:val="00D36BDF"/>
    <w:rsid w:val="00D36E90"/>
    <w:rsid w:val="00D36E9D"/>
    <w:rsid w:val="00D36FA8"/>
    <w:rsid w:val="00D37258"/>
    <w:rsid w:val="00D379E0"/>
    <w:rsid w:val="00D37A2D"/>
    <w:rsid w:val="00D37AED"/>
    <w:rsid w:val="00D37D35"/>
    <w:rsid w:val="00D403C8"/>
    <w:rsid w:val="00D403CE"/>
    <w:rsid w:val="00D40630"/>
    <w:rsid w:val="00D40D21"/>
    <w:rsid w:val="00D40D53"/>
    <w:rsid w:val="00D40FE7"/>
    <w:rsid w:val="00D411C3"/>
    <w:rsid w:val="00D41308"/>
    <w:rsid w:val="00D4144C"/>
    <w:rsid w:val="00D418A3"/>
    <w:rsid w:val="00D41C7F"/>
    <w:rsid w:val="00D41FA8"/>
    <w:rsid w:val="00D4393A"/>
    <w:rsid w:val="00D439DC"/>
    <w:rsid w:val="00D44114"/>
    <w:rsid w:val="00D44258"/>
    <w:rsid w:val="00D44AF3"/>
    <w:rsid w:val="00D45228"/>
    <w:rsid w:val="00D453E1"/>
    <w:rsid w:val="00D466E1"/>
    <w:rsid w:val="00D46842"/>
    <w:rsid w:val="00D46858"/>
    <w:rsid w:val="00D46E2F"/>
    <w:rsid w:val="00D479E0"/>
    <w:rsid w:val="00D47E70"/>
    <w:rsid w:val="00D50408"/>
    <w:rsid w:val="00D50C7D"/>
    <w:rsid w:val="00D512E7"/>
    <w:rsid w:val="00D51D27"/>
    <w:rsid w:val="00D51F55"/>
    <w:rsid w:val="00D52167"/>
    <w:rsid w:val="00D521D6"/>
    <w:rsid w:val="00D52C19"/>
    <w:rsid w:val="00D52D8D"/>
    <w:rsid w:val="00D5304A"/>
    <w:rsid w:val="00D53622"/>
    <w:rsid w:val="00D53981"/>
    <w:rsid w:val="00D53DDE"/>
    <w:rsid w:val="00D540DF"/>
    <w:rsid w:val="00D54429"/>
    <w:rsid w:val="00D54523"/>
    <w:rsid w:val="00D55739"/>
    <w:rsid w:val="00D56598"/>
    <w:rsid w:val="00D5725C"/>
    <w:rsid w:val="00D574E2"/>
    <w:rsid w:val="00D576F8"/>
    <w:rsid w:val="00D57A9D"/>
    <w:rsid w:val="00D60415"/>
    <w:rsid w:val="00D60958"/>
    <w:rsid w:val="00D62AE4"/>
    <w:rsid w:val="00D62B31"/>
    <w:rsid w:val="00D632D9"/>
    <w:rsid w:val="00D6372E"/>
    <w:rsid w:val="00D64118"/>
    <w:rsid w:val="00D64120"/>
    <w:rsid w:val="00D64BB0"/>
    <w:rsid w:val="00D64D57"/>
    <w:rsid w:val="00D6507E"/>
    <w:rsid w:val="00D65230"/>
    <w:rsid w:val="00D65624"/>
    <w:rsid w:val="00D65956"/>
    <w:rsid w:val="00D65BE5"/>
    <w:rsid w:val="00D65CEA"/>
    <w:rsid w:val="00D65FA8"/>
    <w:rsid w:val="00D66259"/>
    <w:rsid w:val="00D669B1"/>
    <w:rsid w:val="00D67310"/>
    <w:rsid w:val="00D67C09"/>
    <w:rsid w:val="00D67C0C"/>
    <w:rsid w:val="00D703E2"/>
    <w:rsid w:val="00D70C68"/>
    <w:rsid w:val="00D71018"/>
    <w:rsid w:val="00D719F0"/>
    <w:rsid w:val="00D720AB"/>
    <w:rsid w:val="00D730F5"/>
    <w:rsid w:val="00D7331D"/>
    <w:rsid w:val="00D73606"/>
    <w:rsid w:val="00D73998"/>
    <w:rsid w:val="00D73F85"/>
    <w:rsid w:val="00D745EB"/>
    <w:rsid w:val="00D7487E"/>
    <w:rsid w:val="00D74BE3"/>
    <w:rsid w:val="00D74C51"/>
    <w:rsid w:val="00D74F41"/>
    <w:rsid w:val="00D75242"/>
    <w:rsid w:val="00D75A2D"/>
    <w:rsid w:val="00D76108"/>
    <w:rsid w:val="00D76A9B"/>
    <w:rsid w:val="00D76EF6"/>
    <w:rsid w:val="00D77434"/>
    <w:rsid w:val="00D774CA"/>
    <w:rsid w:val="00D77CA3"/>
    <w:rsid w:val="00D812A9"/>
    <w:rsid w:val="00D8171F"/>
    <w:rsid w:val="00D8198F"/>
    <w:rsid w:val="00D824E2"/>
    <w:rsid w:val="00D829E5"/>
    <w:rsid w:val="00D8343A"/>
    <w:rsid w:val="00D8348B"/>
    <w:rsid w:val="00D84535"/>
    <w:rsid w:val="00D84BF8"/>
    <w:rsid w:val="00D85706"/>
    <w:rsid w:val="00D85835"/>
    <w:rsid w:val="00D8614D"/>
    <w:rsid w:val="00D86E0A"/>
    <w:rsid w:val="00D87431"/>
    <w:rsid w:val="00D878B9"/>
    <w:rsid w:val="00D87DDF"/>
    <w:rsid w:val="00D902A2"/>
    <w:rsid w:val="00D902E6"/>
    <w:rsid w:val="00D90C9B"/>
    <w:rsid w:val="00D911E7"/>
    <w:rsid w:val="00D91B2C"/>
    <w:rsid w:val="00D91EF2"/>
    <w:rsid w:val="00D92209"/>
    <w:rsid w:val="00D93273"/>
    <w:rsid w:val="00D9339C"/>
    <w:rsid w:val="00D9484C"/>
    <w:rsid w:val="00D949C2"/>
    <w:rsid w:val="00D94C8B"/>
    <w:rsid w:val="00D95005"/>
    <w:rsid w:val="00D95A7A"/>
    <w:rsid w:val="00D95ADF"/>
    <w:rsid w:val="00D96147"/>
    <w:rsid w:val="00D9651D"/>
    <w:rsid w:val="00D973D5"/>
    <w:rsid w:val="00D974E2"/>
    <w:rsid w:val="00D97C8B"/>
    <w:rsid w:val="00DA0C3C"/>
    <w:rsid w:val="00DA0D47"/>
    <w:rsid w:val="00DA0F04"/>
    <w:rsid w:val="00DA14E8"/>
    <w:rsid w:val="00DA1D3D"/>
    <w:rsid w:val="00DA1DE7"/>
    <w:rsid w:val="00DA2055"/>
    <w:rsid w:val="00DA26D8"/>
    <w:rsid w:val="00DA2841"/>
    <w:rsid w:val="00DA2CA1"/>
    <w:rsid w:val="00DA2E97"/>
    <w:rsid w:val="00DA4560"/>
    <w:rsid w:val="00DA46DF"/>
    <w:rsid w:val="00DA4757"/>
    <w:rsid w:val="00DA4D8B"/>
    <w:rsid w:val="00DA5821"/>
    <w:rsid w:val="00DA5D2E"/>
    <w:rsid w:val="00DA5E93"/>
    <w:rsid w:val="00DA5F5C"/>
    <w:rsid w:val="00DA62B0"/>
    <w:rsid w:val="00DA70BE"/>
    <w:rsid w:val="00DA7635"/>
    <w:rsid w:val="00DA79A8"/>
    <w:rsid w:val="00DA7B07"/>
    <w:rsid w:val="00DB02C0"/>
    <w:rsid w:val="00DB03AF"/>
    <w:rsid w:val="00DB2794"/>
    <w:rsid w:val="00DB27CD"/>
    <w:rsid w:val="00DB283E"/>
    <w:rsid w:val="00DB28DA"/>
    <w:rsid w:val="00DB36B0"/>
    <w:rsid w:val="00DB37BC"/>
    <w:rsid w:val="00DB3BF9"/>
    <w:rsid w:val="00DB3D0B"/>
    <w:rsid w:val="00DB4887"/>
    <w:rsid w:val="00DB49AE"/>
    <w:rsid w:val="00DB5BE9"/>
    <w:rsid w:val="00DB6006"/>
    <w:rsid w:val="00DB6532"/>
    <w:rsid w:val="00DB6654"/>
    <w:rsid w:val="00DB6F63"/>
    <w:rsid w:val="00DB7366"/>
    <w:rsid w:val="00DB7741"/>
    <w:rsid w:val="00DB7824"/>
    <w:rsid w:val="00DC0D2D"/>
    <w:rsid w:val="00DC120D"/>
    <w:rsid w:val="00DC123C"/>
    <w:rsid w:val="00DC155B"/>
    <w:rsid w:val="00DC193F"/>
    <w:rsid w:val="00DC2632"/>
    <w:rsid w:val="00DC28F5"/>
    <w:rsid w:val="00DC2BC1"/>
    <w:rsid w:val="00DC2C99"/>
    <w:rsid w:val="00DC2DFA"/>
    <w:rsid w:val="00DC2E91"/>
    <w:rsid w:val="00DC336E"/>
    <w:rsid w:val="00DC4236"/>
    <w:rsid w:val="00DC4CDF"/>
    <w:rsid w:val="00DC5970"/>
    <w:rsid w:val="00DC5B10"/>
    <w:rsid w:val="00DC5E36"/>
    <w:rsid w:val="00DC5EA5"/>
    <w:rsid w:val="00DC5F18"/>
    <w:rsid w:val="00DC6117"/>
    <w:rsid w:val="00DC66ED"/>
    <w:rsid w:val="00DC6706"/>
    <w:rsid w:val="00DC7432"/>
    <w:rsid w:val="00DC7FF6"/>
    <w:rsid w:val="00DD023A"/>
    <w:rsid w:val="00DD04BC"/>
    <w:rsid w:val="00DD09CB"/>
    <w:rsid w:val="00DD0A90"/>
    <w:rsid w:val="00DD159D"/>
    <w:rsid w:val="00DD1949"/>
    <w:rsid w:val="00DD1BBF"/>
    <w:rsid w:val="00DD1C1F"/>
    <w:rsid w:val="00DD259D"/>
    <w:rsid w:val="00DD25DE"/>
    <w:rsid w:val="00DD2A57"/>
    <w:rsid w:val="00DD34D6"/>
    <w:rsid w:val="00DD4274"/>
    <w:rsid w:val="00DD42DB"/>
    <w:rsid w:val="00DD438F"/>
    <w:rsid w:val="00DD4496"/>
    <w:rsid w:val="00DD464B"/>
    <w:rsid w:val="00DD57BD"/>
    <w:rsid w:val="00DD6EF7"/>
    <w:rsid w:val="00DD71B5"/>
    <w:rsid w:val="00DD7C9E"/>
    <w:rsid w:val="00DE0006"/>
    <w:rsid w:val="00DE028B"/>
    <w:rsid w:val="00DE08B5"/>
    <w:rsid w:val="00DE0920"/>
    <w:rsid w:val="00DE0E43"/>
    <w:rsid w:val="00DE0EB2"/>
    <w:rsid w:val="00DE17AF"/>
    <w:rsid w:val="00DE1E03"/>
    <w:rsid w:val="00DE25EB"/>
    <w:rsid w:val="00DE2D97"/>
    <w:rsid w:val="00DE4444"/>
    <w:rsid w:val="00DE46AF"/>
    <w:rsid w:val="00DE4E9F"/>
    <w:rsid w:val="00DE56C5"/>
    <w:rsid w:val="00DE57EE"/>
    <w:rsid w:val="00DE5862"/>
    <w:rsid w:val="00DE5EAC"/>
    <w:rsid w:val="00DE5F1A"/>
    <w:rsid w:val="00DE61C4"/>
    <w:rsid w:val="00DE637A"/>
    <w:rsid w:val="00DE6BC1"/>
    <w:rsid w:val="00DE72A7"/>
    <w:rsid w:val="00DE7D62"/>
    <w:rsid w:val="00DF07B6"/>
    <w:rsid w:val="00DF0819"/>
    <w:rsid w:val="00DF08A1"/>
    <w:rsid w:val="00DF09DA"/>
    <w:rsid w:val="00DF101B"/>
    <w:rsid w:val="00DF1619"/>
    <w:rsid w:val="00DF1802"/>
    <w:rsid w:val="00DF2240"/>
    <w:rsid w:val="00DF233F"/>
    <w:rsid w:val="00DF25E3"/>
    <w:rsid w:val="00DF285A"/>
    <w:rsid w:val="00DF2E3B"/>
    <w:rsid w:val="00DF337C"/>
    <w:rsid w:val="00DF3F0C"/>
    <w:rsid w:val="00DF4484"/>
    <w:rsid w:val="00DF4687"/>
    <w:rsid w:val="00DF49C6"/>
    <w:rsid w:val="00DF50A2"/>
    <w:rsid w:val="00DF54D5"/>
    <w:rsid w:val="00DF5CBE"/>
    <w:rsid w:val="00DF5ED5"/>
    <w:rsid w:val="00DF65C1"/>
    <w:rsid w:val="00DF6A4F"/>
    <w:rsid w:val="00DF74AB"/>
    <w:rsid w:val="00E0098E"/>
    <w:rsid w:val="00E009F9"/>
    <w:rsid w:val="00E00AC4"/>
    <w:rsid w:val="00E00C7B"/>
    <w:rsid w:val="00E00E26"/>
    <w:rsid w:val="00E00E35"/>
    <w:rsid w:val="00E01808"/>
    <w:rsid w:val="00E01B3C"/>
    <w:rsid w:val="00E0262D"/>
    <w:rsid w:val="00E02B87"/>
    <w:rsid w:val="00E03248"/>
    <w:rsid w:val="00E03A25"/>
    <w:rsid w:val="00E03C1D"/>
    <w:rsid w:val="00E03C4D"/>
    <w:rsid w:val="00E0428D"/>
    <w:rsid w:val="00E042AB"/>
    <w:rsid w:val="00E045DC"/>
    <w:rsid w:val="00E04E39"/>
    <w:rsid w:val="00E04EA6"/>
    <w:rsid w:val="00E04FE9"/>
    <w:rsid w:val="00E0536A"/>
    <w:rsid w:val="00E06435"/>
    <w:rsid w:val="00E0703B"/>
    <w:rsid w:val="00E072DF"/>
    <w:rsid w:val="00E0761D"/>
    <w:rsid w:val="00E07C25"/>
    <w:rsid w:val="00E10760"/>
    <w:rsid w:val="00E107EF"/>
    <w:rsid w:val="00E11082"/>
    <w:rsid w:val="00E1120D"/>
    <w:rsid w:val="00E11AFB"/>
    <w:rsid w:val="00E11C9D"/>
    <w:rsid w:val="00E12311"/>
    <w:rsid w:val="00E1285B"/>
    <w:rsid w:val="00E128A7"/>
    <w:rsid w:val="00E13451"/>
    <w:rsid w:val="00E13782"/>
    <w:rsid w:val="00E13788"/>
    <w:rsid w:val="00E13C34"/>
    <w:rsid w:val="00E13C7A"/>
    <w:rsid w:val="00E14152"/>
    <w:rsid w:val="00E14668"/>
    <w:rsid w:val="00E14857"/>
    <w:rsid w:val="00E1503F"/>
    <w:rsid w:val="00E152B5"/>
    <w:rsid w:val="00E15503"/>
    <w:rsid w:val="00E1551F"/>
    <w:rsid w:val="00E16BEA"/>
    <w:rsid w:val="00E16F8A"/>
    <w:rsid w:val="00E17841"/>
    <w:rsid w:val="00E17ACA"/>
    <w:rsid w:val="00E2029E"/>
    <w:rsid w:val="00E21078"/>
    <w:rsid w:val="00E213C3"/>
    <w:rsid w:val="00E21545"/>
    <w:rsid w:val="00E21968"/>
    <w:rsid w:val="00E219EC"/>
    <w:rsid w:val="00E2202C"/>
    <w:rsid w:val="00E22EBB"/>
    <w:rsid w:val="00E22EDB"/>
    <w:rsid w:val="00E22F70"/>
    <w:rsid w:val="00E23A9A"/>
    <w:rsid w:val="00E24A77"/>
    <w:rsid w:val="00E24CCD"/>
    <w:rsid w:val="00E24ED4"/>
    <w:rsid w:val="00E256F7"/>
    <w:rsid w:val="00E25F92"/>
    <w:rsid w:val="00E26157"/>
    <w:rsid w:val="00E26595"/>
    <w:rsid w:val="00E26661"/>
    <w:rsid w:val="00E268CE"/>
    <w:rsid w:val="00E26B9B"/>
    <w:rsid w:val="00E26F3C"/>
    <w:rsid w:val="00E27343"/>
    <w:rsid w:val="00E27D5F"/>
    <w:rsid w:val="00E27DA5"/>
    <w:rsid w:val="00E30A4B"/>
    <w:rsid w:val="00E3111D"/>
    <w:rsid w:val="00E3135C"/>
    <w:rsid w:val="00E31F0A"/>
    <w:rsid w:val="00E3214B"/>
    <w:rsid w:val="00E322E6"/>
    <w:rsid w:val="00E32BA2"/>
    <w:rsid w:val="00E32BED"/>
    <w:rsid w:val="00E32CF0"/>
    <w:rsid w:val="00E32F4E"/>
    <w:rsid w:val="00E33A5D"/>
    <w:rsid w:val="00E3456C"/>
    <w:rsid w:val="00E3528C"/>
    <w:rsid w:val="00E35DC2"/>
    <w:rsid w:val="00E3696C"/>
    <w:rsid w:val="00E369E6"/>
    <w:rsid w:val="00E4149F"/>
    <w:rsid w:val="00E4171D"/>
    <w:rsid w:val="00E41A40"/>
    <w:rsid w:val="00E41ED3"/>
    <w:rsid w:val="00E41ED9"/>
    <w:rsid w:val="00E420ED"/>
    <w:rsid w:val="00E42265"/>
    <w:rsid w:val="00E4257A"/>
    <w:rsid w:val="00E425F3"/>
    <w:rsid w:val="00E4288C"/>
    <w:rsid w:val="00E43248"/>
    <w:rsid w:val="00E43F1A"/>
    <w:rsid w:val="00E44BAF"/>
    <w:rsid w:val="00E44D0A"/>
    <w:rsid w:val="00E45D37"/>
    <w:rsid w:val="00E46595"/>
    <w:rsid w:val="00E500A8"/>
    <w:rsid w:val="00E50979"/>
    <w:rsid w:val="00E509D2"/>
    <w:rsid w:val="00E509D6"/>
    <w:rsid w:val="00E51291"/>
    <w:rsid w:val="00E51B2E"/>
    <w:rsid w:val="00E53005"/>
    <w:rsid w:val="00E5386A"/>
    <w:rsid w:val="00E53AB1"/>
    <w:rsid w:val="00E53FC3"/>
    <w:rsid w:val="00E544D9"/>
    <w:rsid w:val="00E54F52"/>
    <w:rsid w:val="00E55C6E"/>
    <w:rsid w:val="00E55D08"/>
    <w:rsid w:val="00E5614D"/>
    <w:rsid w:val="00E56960"/>
    <w:rsid w:val="00E56CDF"/>
    <w:rsid w:val="00E57BB6"/>
    <w:rsid w:val="00E602C3"/>
    <w:rsid w:val="00E602F1"/>
    <w:rsid w:val="00E60539"/>
    <w:rsid w:val="00E607F9"/>
    <w:rsid w:val="00E613E6"/>
    <w:rsid w:val="00E614CE"/>
    <w:rsid w:val="00E61672"/>
    <w:rsid w:val="00E6197E"/>
    <w:rsid w:val="00E61C6B"/>
    <w:rsid w:val="00E61DC0"/>
    <w:rsid w:val="00E62AEE"/>
    <w:rsid w:val="00E630CB"/>
    <w:rsid w:val="00E639EB"/>
    <w:rsid w:val="00E63CB5"/>
    <w:rsid w:val="00E64276"/>
    <w:rsid w:val="00E647BD"/>
    <w:rsid w:val="00E6498C"/>
    <w:rsid w:val="00E64F63"/>
    <w:rsid w:val="00E650F4"/>
    <w:rsid w:val="00E6583F"/>
    <w:rsid w:val="00E65B43"/>
    <w:rsid w:val="00E66884"/>
    <w:rsid w:val="00E66FC0"/>
    <w:rsid w:val="00E674A0"/>
    <w:rsid w:val="00E678C6"/>
    <w:rsid w:val="00E6793A"/>
    <w:rsid w:val="00E679E6"/>
    <w:rsid w:val="00E70A60"/>
    <w:rsid w:val="00E70B97"/>
    <w:rsid w:val="00E70E30"/>
    <w:rsid w:val="00E714B0"/>
    <w:rsid w:val="00E7199F"/>
    <w:rsid w:val="00E721E3"/>
    <w:rsid w:val="00E727E5"/>
    <w:rsid w:val="00E729DC"/>
    <w:rsid w:val="00E72B01"/>
    <w:rsid w:val="00E73A1E"/>
    <w:rsid w:val="00E73C0B"/>
    <w:rsid w:val="00E73F3F"/>
    <w:rsid w:val="00E75313"/>
    <w:rsid w:val="00E761A7"/>
    <w:rsid w:val="00E767C9"/>
    <w:rsid w:val="00E77009"/>
    <w:rsid w:val="00E777EF"/>
    <w:rsid w:val="00E80112"/>
    <w:rsid w:val="00E80B89"/>
    <w:rsid w:val="00E810F9"/>
    <w:rsid w:val="00E81297"/>
    <w:rsid w:val="00E82BD7"/>
    <w:rsid w:val="00E844A5"/>
    <w:rsid w:val="00E84E68"/>
    <w:rsid w:val="00E85BB4"/>
    <w:rsid w:val="00E85FAB"/>
    <w:rsid w:val="00E86313"/>
    <w:rsid w:val="00E86C37"/>
    <w:rsid w:val="00E87231"/>
    <w:rsid w:val="00E87AA0"/>
    <w:rsid w:val="00E9124B"/>
    <w:rsid w:val="00E9174B"/>
    <w:rsid w:val="00E91940"/>
    <w:rsid w:val="00E91AC5"/>
    <w:rsid w:val="00E91B69"/>
    <w:rsid w:val="00E91C62"/>
    <w:rsid w:val="00E928BF"/>
    <w:rsid w:val="00E928EB"/>
    <w:rsid w:val="00E931CD"/>
    <w:rsid w:val="00E93519"/>
    <w:rsid w:val="00E936A4"/>
    <w:rsid w:val="00E939F0"/>
    <w:rsid w:val="00E93A70"/>
    <w:rsid w:val="00E94E62"/>
    <w:rsid w:val="00E95246"/>
    <w:rsid w:val="00E955CD"/>
    <w:rsid w:val="00E95984"/>
    <w:rsid w:val="00E95A56"/>
    <w:rsid w:val="00E95F8C"/>
    <w:rsid w:val="00E96C76"/>
    <w:rsid w:val="00E9711C"/>
    <w:rsid w:val="00E97A8C"/>
    <w:rsid w:val="00E97DC6"/>
    <w:rsid w:val="00EA0E77"/>
    <w:rsid w:val="00EA1761"/>
    <w:rsid w:val="00EA1959"/>
    <w:rsid w:val="00EA197F"/>
    <w:rsid w:val="00EA1F38"/>
    <w:rsid w:val="00EA2485"/>
    <w:rsid w:val="00EA2C7C"/>
    <w:rsid w:val="00EA3322"/>
    <w:rsid w:val="00EA3CAD"/>
    <w:rsid w:val="00EA5924"/>
    <w:rsid w:val="00EA5A8A"/>
    <w:rsid w:val="00EA5AF3"/>
    <w:rsid w:val="00EA69D6"/>
    <w:rsid w:val="00EA6CE7"/>
    <w:rsid w:val="00EA6DEC"/>
    <w:rsid w:val="00EA73F7"/>
    <w:rsid w:val="00EA7755"/>
    <w:rsid w:val="00EA7798"/>
    <w:rsid w:val="00EA7E01"/>
    <w:rsid w:val="00EB149E"/>
    <w:rsid w:val="00EB1FC0"/>
    <w:rsid w:val="00EB238B"/>
    <w:rsid w:val="00EB2A4A"/>
    <w:rsid w:val="00EB2FD1"/>
    <w:rsid w:val="00EB34E6"/>
    <w:rsid w:val="00EB3897"/>
    <w:rsid w:val="00EB3971"/>
    <w:rsid w:val="00EB3F78"/>
    <w:rsid w:val="00EB4374"/>
    <w:rsid w:val="00EB43B0"/>
    <w:rsid w:val="00EB4406"/>
    <w:rsid w:val="00EB4557"/>
    <w:rsid w:val="00EB4C26"/>
    <w:rsid w:val="00EB503E"/>
    <w:rsid w:val="00EB56EF"/>
    <w:rsid w:val="00EB5CDC"/>
    <w:rsid w:val="00EB5D94"/>
    <w:rsid w:val="00EB657B"/>
    <w:rsid w:val="00EB6847"/>
    <w:rsid w:val="00EB694E"/>
    <w:rsid w:val="00EB6EDC"/>
    <w:rsid w:val="00EB7258"/>
    <w:rsid w:val="00EB7466"/>
    <w:rsid w:val="00EB79AC"/>
    <w:rsid w:val="00EC09B3"/>
    <w:rsid w:val="00EC1205"/>
    <w:rsid w:val="00EC1D34"/>
    <w:rsid w:val="00EC1F23"/>
    <w:rsid w:val="00EC221B"/>
    <w:rsid w:val="00EC23C8"/>
    <w:rsid w:val="00EC2CDB"/>
    <w:rsid w:val="00EC2DC4"/>
    <w:rsid w:val="00EC3704"/>
    <w:rsid w:val="00EC37BF"/>
    <w:rsid w:val="00EC3E05"/>
    <w:rsid w:val="00EC463F"/>
    <w:rsid w:val="00EC4AA6"/>
    <w:rsid w:val="00EC5121"/>
    <w:rsid w:val="00EC528C"/>
    <w:rsid w:val="00EC54C7"/>
    <w:rsid w:val="00EC60A4"/>
    <w:rsid w:val="00EC61FE"/>
    <w:rsid w:val="00EC6220"/>
    <w:rsid w:val="00EC62E1"/>
    <w:rsid w:val="00EC62E5"/>
    <w:rsid w:val="00EC62EF"/>
    <w:rsid w:val="00EC73C0"/>
    <w:rsid w:val="00EC7715"/>
    <w:rsid w:val="00EC7835"/>
    <w:rsid w:val="00ED0016"/>
    <w:rsid w:val="00ED0101"/>
    <w:rsid w:val="00ED0782"/>
    <w:rsid w:val="00ED0B91"/>
    <w:rsid w:val="00ED0FB4"/>
    <w:rsid w:val="00ED109C"/>
    <w:rsid w:val="00ED1488"/>
    <w:rsid w:val="00ED1A78"/>
    <w:rsid w:val="00ED1D33"/>
    <w:rsid w:val="00ED2073"/>
    <w:rsid w:val="00ED2242"/>
    <w:rsid w:val="00ED2E6B"/>
    <w:rsid w:val="00ED2F95"/>
    <w:rsid w:val="00ED31CE"/>
    <w:rsid w:val="00ED32C3"/>
    <w:rsid w:val="00ED3534"/>
    <w:rsid w:val="00ED393D"/>
    <w:rsid w:val="00ED3D3C"/>
    <w:rsid w:val="00ED42AD"/>
    <w:rsid w:val="00ED47B3"/>
    <w:rsid w:val="00ED5831"/>
    <w:rsid w:val="00ED5AFA"/>
    <w:rsid w:val="00ED5FE1"/>
    <w:rsid w:val="00ED6108"/>
    <w:rsid w:val="00ED6A16"/>
    <w:rsid w:val="00ED6CE1"/>
    <w:rsid w:val="00ED6E5A"/>
    <w:rsid w:val="00ED7621"/>
    <w:rsid w:val="00ED7B13"/>
    <w:rsid w:val="00EE01F9"/>
    <w:rsid w:val="00EE0445"/>
    <w:rsid w:val="00EE0862"/>
    <w:rsid w:val="00EE0CE1"/>
    <w:rsid w:val="00EE1DB1"/>
    <w:rsid w:val="00EE2209"/>
    <w:rsid w:val="00EE3385"/>
    <w:rsid w:val="00EE39EA"/>
    <w:rsid w:val="00EE3AA7"/>
    <w:rsid w:val="00EE3C3F"/>
    <w:rsid w:val="00EE3CE8"/>
    <w:rsid w:val="00EE4601"/>
    <w:rsid w:val="00EE62A1"/>
    <w:rsid w:val="00EE6338"/>
    <w:rsid w:val="00EE6991"/>
    <w:rsid w:val="00EE6BC7"/>
    <w:rsid w:val="00EE6D0F"/>
    <w:rsid w:val="00EE6F69"/>
    <w:rsid w:val="00EE71DF"/>
    <w:rsid w:val="00EE7D41"/>
    <w:rsid w:val="00EE7FE4"/>
    <w:rsid w:val="00EF070B"/>
    <w:rsid w:val="00EF078D"/>
    <w:rsid w:val="00EF0D5D"/>
    <w:rsid w:val="00EF11C7"/>
    <w:rsid w:val="00EF1538"/>
    <w:rsid w:val="00EF15FB"/>
    <w:rsid w:val="00EF2589"/>
    <w:rsid w:val="00EF2DDB"/>
    <w:rsid w:val="00EF2E97"/>
    <w:rsid w:val="00EF34D6"/>
    <w:rsid w:val="00EF4A35"/>
    <w:rsid w:val="00EF4DC6"/>
    <w:rsid w:val="00EF509E"/>
    <w:rsid w:val="00EF5130"/>
    <w:rsid w:val="00EF595D"/>
    <w:rsid w:val="00EF5965"/>
    <w:rsid w:val="00EF5AD0"/>
    <w:rsid w:val="00EF6E0D"/>
    <w:rsid w:val="00EF70F4"/>
    <w:rsid w:val="00EF75BB"/>
    <w:rsid w:val="00EF79E7"/>
    <w:rsid w:val="00EF7A55"/>
    <w:rsid w:val="00F001E0"/>
    <w:rsid w:val="00F0063D"/>
    <w:rsid w:val="00F00825"/>
    <w:rsid w:val="00F00EDA"/>
    <w:rsid w:val="00F01E6B"/>
    <w:rsid w:val="00F02D60"/>
    <w:rsid w:val="00F03730"/>
    <w:rsid w:val="00F03757"/>
    <w:rsid w:val="00F038EB"/>
    <w:rsid w:val="00F03CAB"/>
    <w:rsid w:val="00F04089"/>
    <w:rsid w:val="00F0474A"/>
    <w:rsid w:val="00F056B9"/>
    <w:rsid w:val="00F0666E"/>
    <w:rsid w:val="00F06784"/>
    <w:rsid w:val="00F069B4"/>
    <w:rsid w:val="00F06F8C"/>
    <w:rsid w:val="00F07042"/>
    <w:rsid w:val="00F0735E"/>
    <w:rsid w:val="00F076C3"/>
    <w:rsid w:val="00F077DF"/>
    <w:rsid w:val="00F1026A"/>
    <w:rsid w:val="00F1133F"/>
    <w:rsid w:val="00F11400"/>
    <w:rsid w:val="00F11A00"/>
    <w:rsid w:val="00F11CA7"/>
    <w:rsid w:val="00F1219F"/>
    <w:rsid w:val="00F1221A"/>
    <w:rsid w:val="00F124B8"/>
    <w:rsid w:val="00F12617"/>
    <w:rsid w:val="00F1285F"/>
    <w:rsid w:val="00F13080"/>
    <w:rsid w:val="00F13397"/>
    <w:rsid w:val="00F13BD2"/>
    <w:rsid w:val="00F14444"/>
    <w:rsid w:val="00F14CD5"/>
    <w:rsid w:val="00F150E2"/>
    <w:rsid w:val="00F15120"/>
    <w:rsid w:val="00F15DE3"/>
    <w:rsid w:val="00F16773"/>
    <w:rsid w:val="00F1693B"/>
    <w:rsid w:val="00F17B7D"/>
    <w:rsid w:val="00F17C67"/>
    <w:rsid w:val="00F202C9"/>
    <w:rsid w:val="00F206B4"/>
    <w:rsid w:val="00F208EC"/>
    <w:rsid w:val="00F21201"/>
    <w:rsid w:val="00F2163A"/>
    <w:rsid w:val="00F219A8"/>
    <w:rsid w:val="00F219B7"/>
    <w:rsid w:val="00F22237"/>
    <w:rsid w:val="00F22C6F"/>
    <w:rsid w:val="00F22FB8"/>
    <w:rsid w:val="00F23297"/>
    <w:rsid w:val="00F235F9"/>
    <w:rsid w:val="00F23BC8"/>
    <w:rsid w:val="00F23ED2"/>
    <w:rsid w:val="00F24E0C"/>
    <w:rsid w:val="00F24F13"/>
    <w:rsid w:val="00F2580E"/>
    <w:rsid w:val="00F259DB"/>
    <w:rsid w:val="00F25A70"/>
    <w:rsid w:val="00F25C57"/>
    <w:rsid w:val="00F26243"/>
    <w:rsid w:val="00F26761"/>
    <w:rsid w:val="00F26822"/>
    <w:rsid w:val="00F26B29"/>
    <w:rsid w:val="00F2742D"/>
    <w:rsid w:val="00F27469"/>
    <w:rsid w:val="00F27AC0"/>
    <w:rsid w:val="00F27BAD"/>
    <w:rsid w:val="00F27DCD"/>
    <w:rsid w:val="00F30641"/>
    <w:rsid w:val="00F3069C"/>
    <w:rsid w:val="00F30B74"/>
    <w:rsid w:val="00F30EDF"/>
    <w:rsid w:val="00F31A6F"/>
    <w:rsid w:val="00F31C92"/>
    <w:rsid w:val="00F31F44"/>
    <w:rsid w:val="00F327FF"/>
    <w:rsid w:val="00F32A36"/>
    <w:rsid w:val="00F33113"/>
    <w:rsid w:val="00F33A23"/>
    <w:rsid w:val="00F33ABB"/>
    <w:rsid w:val="00F33ACD"/>
    <w:rsid w:val="00F33BB2"/>
    <w:rsid w:val="00F340B2"/>
    <w:rsid w:val="00F34F56"/>
    <w:rsid w:val="00F35604"/>
    <w:rsid w:val="00F35B40"/>
    <w:rsid w:val="00F35C5D"/>
    <w:rsid w:val="00F36254"/>
    <w:rsid w:val="00F363E3"/>
    <w:rsid w:val="00F3651D"/>
    <w:rsid w:val="00F372FB"/>
    <w:rsid w:val="00F40355"/>
    <w:rsid w:val="00F40834"/>
    <w:rsid w:val="00F40938"/>
    <w:rsid w:val="00F4160A"/>
    <w:rsid w:val="00F41961"/>
    <w:rsid w:val="00F419D3"/>
    <w:rsid w:val="00F41A22"/>
    <w:rsid w:val="00F41FB9"/>
    <w:rsid w:val="00F426FD"/>
    <w:rsid w:val="00F42BFA"/>
    <w:rsid w:val="00F43FC1"/>
    <w:rsid w:val="00F441BF"/>
    <w:rsid w:val="00F442E0"/>
    <w:rsid w:val="00F44A30"/>
    <w:rsid w:val="00F4511F"/>
    <w:rsid w:val="00F453AA"/>
    <w:rsid w:val="00F4549F"/>
    <w:rsid w:val="00F457C4"/>
    <w:rsid w:val="00F46083"/>
    <w:rsid w:val="00F463BA"/>
    <w:rsid w:val="00F46610"/>
    <w:rsid w:val="00F46917"/>
    <w:rsid w:val="00F46D36"/>
    <w:rsid w:val="00F46EED"/>
    <w:rsid w:val="00F474EA"/>
    <w:rsid w:val="00F47BD8"/>
    <w:rsid w:val="00F50622"/>
    <w:rsid w:val="00F50814"/>
    <w:rsid w:val="00F50E14"/>
    <w:rsid w:val="00F51AB0"/>
    <w:rsid w:val="00F524A1"/>
    <w:rsid w:val="00F52F95"/>
    <w:rsid w:val="00F530E3"/>
    <w:rsid w:val="00F537EA"/>
    <w:rsid w:val="00F538F1"/>
    <w:rsid w:val="00F539C8"/>
    <w:rsid w:val="00F54518"/>
    <w:rsid w:val="00F547C9"/>
    <w:rsid w:val="00F54FA5"/>
    <w:rsid w:val="00F55448"/>
    <w:rsid w:val="00F5589C"/>
    <w:rsid w:val="00F55A35"/>
    <w:rsid w:val="00F55C08"/>
    <w:rsid w:val="00F55D4D"/>
    <w:rsid w:val="00F55DAC"/>
    <w:rsid w:val="00F56212"/>
    <w:rsid w:val="00F57E25"/>
    <w:rsid w:val="00F60372"/>
    <w:rsid w:val="00F60600"/>
    <w:rsid w:val="00F61650"/>
    <w:rsid w:val="00F61CF7"/>
    <w:rsid w:val="00F62543"/>
    <w:rsid w:val="00F62CC6"/>
    <w:rsid w:val="00F63076"/>
    <w:rsid w:val="00F631E0"/>
    <w:rsid w:val="00F632AA"/>
    <w:rsid w:val="00F63829"/>
    <w:rsid w:val="00F63BB1"/>
    <w:rsid w:val="00F63D0B"/>
    <w:rsid w:val="00F64180"/>
    <w:rsid w:val="00F64627"/>
    <w:rsid w:val="00F6475F"/>
    <w:rsid w:val="00F64C33"/>
    <w:rsid w:val="00F64C5C"/>
    <w:rsid w:val="00F655C4"/>
    <w:rsid w:val="00F65981"/>
    <w:rsid w:val="00F65C93"/>
    <w:rsid w:val="00F65D83"/>
    <w:rsid w:val="00F65E94"/>
    <w:rsid w:val="00F65F39"/>
    <w:rsid w:val="00F660BD"/>
    <w:rsid w:val="00F66930"/>
    <w:rsid w:val="00F66954"/>
    <w:rsid w:val="00F66F9A"/>
    <w:rsid w:val="00F670BA"/>
    <w:rsid w:val="00F67D93"/>
    <w:rsid w:val="00F70E0B"/>
    <w:rsid w:val="00F71626"/>
    <w:rsid w:val="00F718E0"/>
    <w:rsid w:val="00F71C66"/>
    <w:rsid w:val="00F727B6"/>
    <w:rsid w:val="00F72DB2"/>
    <w:rsid w:val="00F72EE5"/>
    <w:rsid w:val="00F73ADE"/>
    <w:rsid w:val="00F73DBA"/>
    <w:rsid w:val="00F73E7E"/>
    <w:rsid w:val="00F74393"/>
    <w:rsid w:val="00F744AC"/>
    <w:rsid w:val="00F74B94"/>
    <w:rsid w:val="00F74C4D"/>
    <w:rsid w:val="00F752B3"/>
    <w:rsid w:val="00F77177"/>
    <w:rsid w:val="00F77830"/>
    <w:rsid w:val="00F77E0B"/>
    <w:rsid w:val="00F80986"/>
    <w:rsid w:val="00F80DC0"/>
    <w:rsid w:val="00F81BE6"/>
    <w:rsid w:val="00F82431"/>
    <w:rsid w:val="00F8247C"/>
    <w:rsid w:val="00F826C6"/>
    <w:rsid w:val="00F829C4"/>
    <w:rsid w:val="00F82C4F"/>
    <w:rsid w:val="00F831DB"/>
    <w:rsid w:val="00F83DFA"/>
    <w:rsid w:val="00F8460B"/>
    <w:rsid w:val="00F8471F"/>
    <w:rsid w:val="00F863AC"/>
    <w:rsid w:val="00F86873"/>
    <w:rsid w:val="00F86C09"/>
    <w:rsid w:val="00F871B0"/>
    <w:rsid w:val="00F8790F"/>
    <w:rsid w:val="00F87938"/>
    <w:rsid w:val="00F87EC6"/>
    <w:rsid w:val="00F900C3"/>
    <w:rsid w:val="00F90285"/>
    <w:rsid w:val="00F90475"/>
    <w:rsid w:val="00F90527"/>
    <w:rsid w:val="00F90547"/>
    <w:rsid w:val="00F90F09"/>
    <w:rsid w:val="00F9137B"/>
    <w:rsid w:val="00F916DB"/>
    <w:rsid w:val="00F918A4"/>
    <w:rsid w:val="00F91DE2"/>
    <w:rsid w:val="00F91EB5"/>
    <w:rsid w:val="00F920AF"/>
    <w:rsid w:val="00F92755"/>
    <w:rsid w:val="00F9285D"/>
    <w:rsid w:val="00F92FA1"/>
    <w:rsid w:val="00F93278"/>
    <w:rsid w:val="00F93A5D"/>
    <w:rsid w:val="00F95277"/>
    <w:rsid w:val="00F9560D"/>
    <w:rsid w:val="00F95672"/>
    <w:rsid w:val="00F958DF"/>
    <w:rsid w:val="00F95A5C"/>
    <w:rsid w:val="00F95A93"/>
    <w:rsid w:val="00F95B38"/>
    <w:rsid w:val="00F96379"/>
    <w:rsid w:val="00F963AD"/>
    <w:rsid w:val="00F96FB4"/>
    <w:rsid w:val="00F973D2"/>
    <w:rsid w:val="00F977C4"/>
    <w:rsid w:val="00FA0094"/>
    <w:rsid w:val="00FA06CE"/>
    <w:rsid w:val="00FA0911"/>
    <w:rsid w:val="00FA094F"/>
    <w:rsid w:val="00FA0A06"/>
    <w:rsid w:val="00FA0C03"/>
    <w:rsid w:val="00FA101A"/>
    <w:rsid w:val="00FA161F"/>
    <w:rsid w:val="00FA16A3"/>
    <w:rsid w:val="00FA2D73"/>
    <w:rsid w:val="00FA3672"/>
    <w:rsid w:val="00FA374A"/>
    <w:rsid w:val="00FA3ADB"/>
    <w:rsid w:val="00FA3C9C"/>
    <w:rsid w:val="00FA3D28"/>
    <w:rsid w:val="00FA42FE"/>
    <w:rsid w:val="00FA50DD"/>
    <w:rsid w:val="00FA5F67"/>
    <w:rsid w:val="00FA63B2"/>
    <w:rsid w:val="00FA68C5"/>
    <w:rsid w:val="00FA6A6F"/>
    <w:rsid w:val="00FA7149"/>
    <w:rsid w:val="00FA7C0E"/>
    <w:rsid w:val="00FA7F6D"/>
    <w:rsid w:val="00FB02DD"/>
    <w:rsid w:val="00FB0408"/>
    <w:rsid w:val="00FB09BB"/>
    <w:rsid w:val="00FB0CFA"/>
    <w:rsid w:val="00FB13FD"/>
    <w:rsid w:val="00FB1BB7"/>
    <w:rsid w:val="00FB1BD3"/>
    <w:rsid w:val="00FB1E7C"/>
    <w:rsid w:val="00FB1F50"/>
    <w:rsid w:val="00FB208C"/>
    <w:rsid w:val="00FB2B81"/>
    <w:rsid w:val="00FB3151"/>
    <w:rsid w:val="00FB3156"/>
    <w:rsid w:val="00FB31F8"/>
    <w:rsid w:val="00FB3383"/>
    <w:rsid w:val="00FB38A4"/>
    <w:rsid w:val="00FB3CB4"/>
    <w:rsid w:val="00FB3D8A"/>
    <w:rsid w:val="00FB463A"/>
    <w:rsid w:val="00FB4851"/>
    <w:rsid w:val="00FB791C"/>
    <w:rsid w:val="00FB7BBF"/>
    <w:rsid w:val="00FB7BDB"/>
    <w:rsid w:val="00FC0655"/>
    <w:rsid w:val="00FC0FF1"/>
    <w:rsid w:val="00FC1A88"/>
    <w:rsid w:val="00FC1ACE"/>
    <w:rsid w:val="00FC2050"/>
    <w:rsid w:val="00FC2299"/>
    <w:rsid w:val="00FC3A29"/>
    <w:rsid w:val="00FC3B67"/>
    <w:rsid w:val="00FC3B94"/>
    <w:rsid w:val="00FC43FB"/>
    <w:rsid w:val="00FC4765"/>
    <w:rsid w:val="00FC4966"/>
    <w:rsid w:val="00FC5A66"/>
    <w:rsid w:val="00FC62A5"/>
    <w:rsid w:val="00FC6621"/>
    <w:rsid w:val="00FC687F"/>
    <w:rsid w:val="00FC6C33"/>
    <w:rsid w:val="00FC6CC6"/>
    <w:rsid w:val="00FC6F92"/>
    <w:rsid w:val="00FC7208"/>
    <w:rsid w:val="00FC74A3"/>
    <w:rsid w:val="00FC788B"/>
    <w:rsid w:val="00FC7B20"/>
    <w:rsid w:val="00FD0330"/>
    <w:rsid w:val="00FD0473"/>
    <w:rsid w:val="00FD07EB"/>
    <w:rsid w:val="00FD08C5"/>
    <w:rsid w:val="00FD0A06"/>
    <w:rsid w:val="00FD0B3B"/>
    <w:rsid w:val="00FD1384"/>
    <w:rsid w:val="00FD1602"/>
    <w:rsid w:val="00FD1689"/>
    <w:rsid w:val="00FD1A1B"/>
    <w:rsid w:val="00FD1B08"/>
    <w:rsid w:val="00FD1C8F"/>
    <w:rsid w:val="00FD2CB3"/>
    <w:rsid w:val="00FD330C"/>
    <w:rsid w:val="00FD3606"/>
    <w:rsid w:val="00FD417B"/>
    <w:rsid w:val="00FD4A9E"/>
    <w:rsid w:val="00FD5123"/>
    <w:rsid w:val="00FD5267"/>
    <w:rsid w:val="00FD5B74"/>
    <w:rsid w:val="00FD5F1C"/>
    <w:rsid w:val="00FD5F63"/>
    <w:rsid w:val="00FD630A"/>
    <w:rsid w:val="00FD660E"/>
    <w:rsid w:val="00FD6E00"/>
    <w:rsid w:val="00FD7919"/>
    <w:rsid w:val="00FD7B95"/>
    <w:rsid w:val="00FD7B97"/>
    <w:rsid w:val="00FD7D41"/>
    <w:rsid w:val="00FE04F8"/>
    <w:rsid w:val="00FE09DA"/>
    <w:rsid w:val="00FE0BE5"/>
    <w:rsid w:val="00FE0D71"/>
    <w:rsid w:val="00FE0E54"/>
    <w:rsid w:val="00FE11A2"/>
    <w:rsid w:val="00FE1B88"/>
    <w:rsid w:val="00FE2340"/>
    <w:rsid w:val="00FE2E57"/>
    <w:rsid w:val="00FE3143"/>
    <w:rsid w:val="00FE3599"/>
    <w:rsid w:val="00FE4909"/>
    <w:rsid w:val="00FE5215"/>
    <w:rsid w:val="00FE53AB"/>
    <w:rsid w:val="00FE565A"/>
    <w:rsid w:val="00FE5C2F"/>
    <w:rsid w:val="00FE5DE9"/>
    <w:rsid w:val="00FE5FAD"/>
    <w:rsid w:val="00FE6139"/>
    <w:rsid w:val="00FE632E"/>
    <w:rsid w:val="00FE6EDF"/>
    <w:rsid w:val="00FE72B5"/>
    <w:rsid w:val="00FE784F"/>
    <w:rsid w:val="00FE7ACB"/>
    <w:rsid w:val="00FE7BFF"/>
    <w:rsid w:val="00FF007A"/>
    <w:rsid w:val="00FF04D4"/>
    <w:rsid w:val="00FF0813"/>
    <w:rsid w:val="00FF08A2"/>
    <w:rsid w:val="00FF0941"/>
    <w:rsid w:val="00FF0983"/>
    <w:rsid w:val="00FF147A"/>
    <w:rsid w:val="00FF16A8"/>
    <w:rsid w:val="00FF17D9"/>
    <w:rsid w:val="00FF2B24"/>
    <w:rsid w:val="00FF2CDA"/>
    <w:rsid w:val="00FF3387"/>
    <w:rsid w:val="00FF39E6"/>
    <w:rsid w:val="00FF3D77"/>
    <w:rsid w:val="00FF420E"/>
    <w:rsid w:val="00FF46F3"/>
    <w:rsid w:val="00FF4B53"/>
    <w:rsid w:val="00FF4E64"/>
    <w:rsid w:val="00FF5164"/>
    <w:rsid w:val="00FF571C"/>
    <w:rsid w:val="00FF682C"/>
    <w:rsid w:val="01336AD6"/>
    <w:rsid w:val="01992DCE"/>
    <w:rsid w:val="01DE60E6"/>
    <w:rsid w:val="02504778"/>
    <w:rsid w:val="02A01938"/>
    <w:rsid w:val="043C0C01"/>
    <w:rsid w:val="057C7250"/>
    <w:rsid w:val="060608A3"/>
    <w:rsid w:val="072B5108"/>
    <w:rsid w:val="083C4969"/>
    <w:rsid w:val="0840759C"/>
    <w:rsid w:val="0865674A"/>
    <w:rsid w:val="09B52696"/>
    <w:rsid w:val="0B0E2A57"/>
    <w:rsid w:val="0B4F33DA"/>
    <w:rsid w:val="0C4A4020"/>
    <w:rsid w:val="0D474670"/>
    <w:rsid w:val="0E053F2C"/>
    <w:rsid w:val="0E2A542B"/>
    <w:rsid w:val="0EEE6B11"/>
    <w:rsid w:val="0F2942FD"/>
    <w:rsid w:val="1116182A"/>
    <w:rsid w:val="12977D94"/>
    <w:rsid w:val="141759BA"/>
    <w:rsid w:val="14765711"/>
    <w:rsid w:val="168606F7"/>
    <w:rsid w:val="175E7186"/>
    <w:rsid w:val="18637925"/>
    <w:rsid w:val="18C31AD7"/>
    <w:rsid w:val="19723F0F"/>
    <w:rsid w:val="19DE1585"/>
    <w:rsid w:val="1A1F7684"/>
    <w:rsid w:val="1CFD1073"/>
    <w:rsid w:val="1ECB058F"/>
    <w:rsid w:val="21A35355"/>
    <w:rsid w:val="21C9486D"/>
    <w:rsid w:val="21CB366A"/>
    <w:rsid w:val="22052E27"/>
    <w:rsid w:val="231474B5"/>
    <w:rsid w:val="25364E16"/>
    <w:rsid w:val="25C051A8"/>
    <w:rsid w:val="2A01612B"/>
    <w:rsid w:val="2AA530BA"/>
    <w:rsid w:val="2BF536D3"/>
    <w:rsid w:val="2C9531BE"/>
    <w:rsid w:val="2D6F445B"/>
    <w:rsid w:val="2DF17E08"/>
    <w:rsid w:val="2FBC6E61"/>
    <w:rsid w:val="312406A1"/>
    <w:rsid w:val="32153B2E"/>
    <w:rsid w:val="32BA0321"/>
    <w:rsid w:val="33E6498C"/>
    <w:rsid w:val="34764EAA"/>
    <w:rsid w:val="35787C17"/>
    <w:rsid w:val="368C4D7F"/>
    <w:rsid w:val="36B30F69"/>
    <w:rsid w:val="37933F0A"/>
    <w:rsid w:val="37B26A07"/>
    <w:rsid w:val="37EB5B06"/>
    <w:rsid w:val="385B0575"/>
    <w:rsid w:val="392726B3"/>
    <w:rsid w:val="3BA96372"/>
    <w:rsid w:val="3C7C1D2C"/>
    <w:rsid w:val="3CFA4483"/>
    <w:rsid w:val="401C116A"/>
    <w:rsid w:val="407E1969"/>
    <w:rsid w:val="40F64830"/>
    <w:rsid w:val="411B28B5"/>
    <w:rsid w:val="41D9186A"/>
    <w:rsid w:val="41F52311"/>
    <w:rsid w:val="42925B28"/>
    <w:rsid w:val="430277D1"/>
    <w:rsid w:val="438B322E"/>
    <w:rsid w:val="441B7A75"/>
    <w:rsid w:val="445D4D1B"/>
    <w:rsid w:val="447F76FF"/>
    <w:rsid w:val="44932709"/>
    <w:rsid w:val="449F4690"/>
    <w:rsid w:val="44A73701"/>
    <w:rsid w:val="464373DA"/>
    <w:rsid w:val="465D0485"/>
    <w:rsid w:val="467E7F29"/>
    <w:rsid w:val="46C21995"/>
    <w:rsid w:val="48A203D1"/>
    <w:rsid w:val="49205346"/>
    <w:rsid w:val="49333AEE"/>
    <w:rsid w:val="4DB804D4"/>
    <w:rsid w:val="4E6F3A9B"/>
    <w:rsid w:val="4EB3158A"/>
    <w:rsid w:val="4FA71D60"/>
    <w:rsid w:val="50AD4205"/>
    <w:rsid w:val="516D7A41"/>
    <w:rsid w:val="51AF3F5C"/>
    <w:rsid w:val="523469DC"/>
    <w:rsid w:val="58326648"/>
    <w:rsid w:val="58491B80"/>
    <w:rsid w:val="588435F0"/>
    <w:rsid w:val="58BA63ED"/>
    <w:rsid w:val="59BD58EE"/>
    <w:rsid w:val="59E93CE8"/>
    <w:rsid w:val="5C3B1829"/>
    <w:rsid w:val="5D2E0299"/>
    <w:rsid w:val="5F131BD1"/>
    <w:rsid w:val="601E438A"/>
    <w:rsid w:val="60A34889"/>
    <w:rsid w:val="61FF01EB"/>
    <w:rsid w:val="631E211B"/>
    <w:rsid w:val="632831B7"/>
    <w:rsid w:val="636F51FF"/>
    <w:rsid w:val="639232A6"/>
    <w:rsid w:val="63FE64DC"/>
    <w:rsid w:val="643E3177"/>
    <w:rsid w:val="66913112"/>
    <w:rsid w:val="66F5032A"/>
    <w:rsid w:val="689773CF"/>
    <w:rsid w:val="68FB170C"/>
    <w:rsid w:val="6908579D"/>
    <w:rsid w:val="69867A5E"/>
    <w:rsid w:val="6AD20B92"/>
    <w:rsid w:val="6AFE3735"/>
    <w:rsid w:val="6BA41BFF"/>
    <w:rsid w:val="6BD91AAD"/>
    <w:rsid w:val="6DE4101E"/>
    <w:rsid w:val="6EC205D0"/>
    <w:rsid w:val="7047792D"/>
    <w:rsid w:val="70B16AFE"/>
    <w:rsid w:val="7110614A"/>
    <w:rsid w:val="71E73175"/>
    <w:rsid w:val="72367C59"/>
    <w:rsid w:val="72BE1CD0"/>
    <w:rsid w:val="72F85850"/>
    <w:rsid w:val="739B6CEF"/>
    <w:rsid w:val="74862B97"/>
    <w:rsid w:val="74E709D0"/>
    <w:rsid w:val="774B7D02"/>
    <w:rsid w:val="77B942D1"/>
    <w:rsid w:val="791B2B9A"/>
    <w:rsid w:val="794F6C08"/>
    <w:rsid w:val="799534B7"/>
    <w:rsid w:val="79C9242C"/>
    <w:rsid w:val="79E306C6"/>
    <w:rsid w:val="7A4B561B"/>
    <w:rsid w:val="7A6217C0"/>
    <w:rsid w:val="7BF04868"/>
    <w:rsid w:val="7C1947A8"/>
    <w:rsid w:val="7C7A3775"/>
    <w:rsid w:val="7D7645CC"/>
    <w:rsid w:val="7DD21427"/>
    <w:rsid w:val="7EA207D5"/>
    <w:rsid w:val="7F934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unhideWhenUsed="0" w:uiPriority="99" w:semiHidden="0"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nhideWhenUsed="0" w:uiPriority="0" w:semiHidden="0" w:name="List Bullet 4"/>
    <w:lsdException w:uiPriority="99" w:name="List Bullet 5"/>
    <w:lsdException w:uiPriority="0"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0" w:name="Date"/>
    <w:lsdException w:unhideWhenUsed="0" w:uiPriority="0" w:semiHidden="0" w:name="Body Text First Indent"/>
    <w:lsdException w:unhideWhenUsed="0" w:uiPriority="0" w:semiHidden="0"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0" w:name="Block Text"/>
    <w:lsdException w:qFormat="1" w:uiPriority="99" w:semiHidden="0" w:name="Hyperlink"/>
    <w:lsdException w:uiPriority="99" w:semiHidden="0" w:name="FollowedHyperlink"/>
    <w:lsdException w:unhideWhenUsed="0" w:uiPriority="22" w:semiHidden="0" w:name="Strong"/>
    <w:lsdException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56"/>
    <w:qFormat/>
    <w:uiPriority w:val="0"/>
    <w:pPr>
      <w:tabs>
        <w:tab w:val="left" w:pos="0"/>
      </w:tabs>
      <w:adjustRightInd/>
      <w:snapToGrid/>
      <w:spacing w:before="50" w:beforeLines="50"/>
      <w:ind w:firstLine="200" w:firstLineChars="200"/>
      <w:outlineLvl w:val="0"/>
    </w:pPr>
    <w:rPr>
      <w:rFonts w:cstheme="minorBidi"/>
      <w:b/>
      <w:bCs/>
      <w:snapToGrid w:val="0"/>
      <w:kern w:val="0"/>
      <w:sz w:val="28"/>
      <w:szCs w:val="44"/>
    </w:rPr>
  </w:style>
  <w:style w:type="paragraph" w:styleId="3">
    <w:name w:val="heading 2"/>
    <w:basedOn w:val="1"/>
    <w:next w:val="1"/>
    <w:link w:val="57"/>
    <w:unhideWhenUsed/>
    <w:qFormat/>
    <w:uiPriority w:val="9"/>
    <w:pPr>
      <w:adjustRightInd/>
      <w:snapToGrid/>
      <w:jc w:val="both"/>
      <w:outlineLvl w:val="1"/>
    </w:pPr>
    <w:rPr>
      <w:rFonts w:eastAsia="黑体" w:cstheme="majorBidi"/>
      <w:bCs/>
      <w:snapToGrid w:val="0"/>
      <w:kern w:val="0"/>
      <w:szCs w:val="32"/>
    </w:rPr>
  </w:style>
  <w:style w:type="paragraph" w:styleId="4">
    <w:name w:val="heading 3"/>
    <w:basedOn w:val="1"/>
    <w:next w:val="1"/>
    <w:link w:val="58"/>
    <w:unhideWhenUsed/>
    <w:qFormat/>
    <w:uiPriority w:val="0"/>
    <w:pPr>
      <w:adjustRightInd/>
      <w:snapToGrid/>
      <w:jc w:val="both"/>
      <w:outlineLvl w:val="2"/>
    </w:pPr>
    <w:rPr>
      <w:rFonts w:eastAsia="黑体" w:cstheme="minorBidi"/>
      <w:bCs/>
      <w:kern w:val="0"/>
      <w:szCs w:val="32"/>
    </w:rPr>
  </w:style>
  <w:style w:type="paragraph" w:styleId="5">
    <w:name w:val="heading 4"/>
    <w:basedOn w:val="1"/>
    <w:next w:val="1"/>
    <w:link w:val="59"/>
    <w:unhideWhenUsed/>
    <w:qFormat/>
    <w:uiPriority w:val="0"/>
    <w:pPr>
      <w:keepNext/>
      <w:keepLines/>
      <w:spacing w:line="480" w:lineRule="exact"/>
      <w:jc w:val="both"/>
      <w:outlineLvl w:val="3"/>
    </w:pPr>
    <w:rPr>
      <w:rFonts w:cstheme="majorBidi"/>
      <w:bCs/>
      <w:snapToGrid w:val="0"/>
      <w:kern w:val="0"/>
      <w:szCs w:val="28"/>
    </w:rPr>
  </w:style>
  <w:style w:type="paragraph" w:styleId="6">
    <w:name w:val="heading 5"/>
    <w:basedOn w:val="1"/>
    <w:next w:val="1"/>
    <w:link w:val="60"/>
    <w:qFormat/>
    <w:uiPriority w:val="0"/>
    <w:pPr>
      <w:keepNext/>
      <w:keepLines/>
      <w:widowControl/>
      <w:adjustRightInd/>
      <w:snapToGrid/>
      <w:spacing w:before="280" w:after="290" w:line="376" w:lineRule="auto"/>
      <w:ind w:left="1008" w:hanging="1008" w:firstLineChars="200"/>
      <w:outlineLvl w:val="4"/>
    </w:pPr>
    <w:rPr>
      <w:b/>
      <w:bCs/>
      <w:snapToGrid w:val="0"/>
      <w:kern w:val="0"/>
      <w:sz w:val="28"/>
      <w:szCs w:val="28"/>
    </w:rPr>
  </w:style>
  <w:style w:type="paragraph" w:styleId="7">
    <w:name w:val="heading 6"/>
    <w:basedOn w:val="1"/>
    <w:next w:val="1"/>
    <w:link w:val="61"/>
    <w:qFormat/>
    <w:uiPriority w:val="0"/>
    <w:pPr>
      <w:keepNext/>
      <w:keepLines/>
      <w:widowControl/>
      <w:adjustRightInd/>
      <w:snapToGrid/>
      <w:spacing w:before="240" w:after="64" w:line="320" w:lineRule="auto"/>
      <w:ind w:left="1152" w:hanging="1152" w:firstLineChars="200"/>
      <w:outlineLvl w:val="5"/>
    </w:pPr>
    <w:rPr>
      <w:rFonts w:ascii="Calibri Light" w:hAnsi="Calibri Light"/>
      <w:b/>
      <w:bCs/>
      <w:snapToGrid w:val="0"/>
      <w:kern w:val="0"/>
    </w:rPr>
  </w:style>
  <w:style w:type="paragraph" w:styleId="8">
    <w:name w:val="heading 7"/>
    <w:basedOn w:val="1"/>
    <w:next w:val="1"/>
    <w:link w:val="65"/>
    <w:qFormat/>
    <w:uiPriority w:val="99"/>
    <w:pPr>
      <w:keepNext/>
      <w:keepLines/>
      <w:widowControl/>
      <w:adjustRightInd/>
      <w:snapToGrid/>
      <w:spacing w:before="240" w:after="64" w:line="320" w:lineRule="auto"/>
      <w:ind w:left="1296" w:hanging="1296" w:firstLineChars="200"/>
      <w:outlineLvl w:val="6"/>
    </w:pPr>
    <w:rPr>
      <w:b/>
      <w:bCs/>
      <w:snapToGrid w:val="0"/>
      <w:kern w:val="0"/>
    </w:rPr>
  </w:style>
  <w:style w:type="paragraph" w:styleId="9">
    <w:name w:val="heading 8"/>
    <w:basedOn w:val="1"/>
    <w:next w:val="1"/>
    <w:link w:val="62"/>
    <w:qFormat/>
    <w:uiPriority w:val="99"/>
    <w:pPr>
      <w:keepNext/>
      <w:keepLines/>
      <w:widowControl/>
      <w:adjustRightInd/>
      <w:snapToGrid/>
      <w:spacing w:before="240" w:after="64" w:line="320" w:lineRule="auto"/>
      <w:ind w:left="1440" w:hanging="1440" w:firstLineChars="200"/>
      <w:outlineLvl w:val="7"/>
    </w:pPr>
    <w:rPr>
      <w:rFonts w:ascii="Calibri Light" w:hAnsi="Calibri Light"/>
      <w:snapToGrid w:val="0"/>
      <w:kern w:val="0"/>
    </w:rPr>
  </w:style>
  <w:style w:type="paragraph" w:styleId="10">
    <w:name w:val="heading 9"/>
    <w:basedOn w:val="1"/>
    <w:next w:val="1"/>
    <w:link w:val="63"/>
    <w:qFormat/>
    <w:uiPriority w:val="99"/>
    <w:pPr>
      <w:keepNext/>
      <w:keepLines/>
      <w:widowControl/>
      <w:adjustRightInd/>
      <w:snapToGrid/>
      <w:spacing w:before="240" w:after="64" w:line="320" w:lineRule="auto"/>
      <w:ind w:left="1584" w:hanging="1584" w:firstLineChars="200"/>
      <w:outlineLvl w:val="8"/>
    </w:pPr>
    <w:rPr>
      <w:rFonts w:ascii="Calibri Light" w:hAnsi="Calibri Light"/>
      <w:snapToGrid w:val="0"/>
      <w:kern w:val="0"/>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text"/>
    <w:basedOn w:val="1"/>
    <w:link w:val="22"/>
    <w:semiHidden/>
    <w:unhideWhenUsed/>
    <w:qFormat/>
    <w:uiPriority w:val="99"/>
  </w:style>
  <w:style w:type="paragraph" w:styleId="12">
    <w:name w:val="Body Text"/>
    <w:basedOn w:val="1"/>
    <w:semiHidden/>
    <w:qFormat/>
    <w:uiPriority w:val="0"/>
    <w:rPr>
      <w:rFonts w:ascii="Arial" w:hAnsi="Arial" w:eastAsia="Arial" w:cs="Arial"/>
      <w:sz w:val="21"/>
      <w:szCs w:val="21"/>
      <w:lang w:eastAsia="en-US"/>
    </w:rPr>
  </w:style>
  <w:style w:type="paragraph" w:styleId="13">
    <w:name w:val="Balloon Text"/>
    <w:basedOn w:val="1"/>
    <w:link w:val="68"/>
    <w:semiHidden/>
    <w:unhideWhenUsed/>
    <w:qFormat/>
    <w:uiPriority w:val="99"/>
    <w:pPr>
      <w:spacing w:line="240" w:lineRule="auto"/>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annotation subject"/>
    <w:basedOn w:val="11"/>
    <w:next w:val="11"/>
    <w:link w:val="23"/>
    <w:semiHidden/>
    <w:unhideWhenUsed/>
    <w:qFormat/>
    <w:uiPriority w:val="99"/>
    <w:rPr>
      <w:b/>
      <w:bCs/>
    </w:rPr>
  </w:style>
  <w:style w:type="table" w:styleId="18">
    <w:name w:val="Table Grid"/>
    <w:basedOn w:val="1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批注文字 字符"/>
    <w:basedOn w:val="19"/>
    <w:link w:val="11"/>
    <w:semiHidden/>
    <w:qFormat/>
    <w:uiPriority w:val="99"/>
    <w:rPr>
      <w:kern w:val="2"/>
      <w:sz w:val="24"/>
      <w:szCs w:val="24"/>
    </w:rPr>
  </w:style>
  <w:style w:type="character" w:customStyle="1" w:styleId="23">
    <w:name w:val="批注主题 字符"/>
    <w:basedOn w:val="22"/>
    <w:link w:val="16"/>
    <w:semiHidden/>
    <w:qFormat/>
    <w:uiPriority w:val="99"/>
    <w:rPr>
      <w:b/>
      <w:bCs/>
      <w:kern w:val="2"/>
      <w:sz w:val="24"/>
      <w:szCs w:val="24"/>
    </w:rPr>
  </w:style>
  <w:style w:type="character" w:customStyle="1" w:styleId="24">
    <w:name w:val="font31"/>
    <w:basedOn w:val="19"/>
    <w:qFormat/>
    <w:uiPriority w:val="0"/>
    <w:rPr>
      <w:rFonts w:hint="eastAsia" w:ascii="宋体" w:hAnsi="宋体" w:eastAsia="宋体"/>
      <w:color w:val="000000"/>
      <w:sz w:val="21"/>
      <w:szCs w:val="21"/>
      <w:u w:val="none"/>
    </w:rPr>
  </w:style>
  <w:style w:type="character" w:customStyle="1" w:styleId="25">
    <w:name w:val="font21"/>
    <w:basedOn w:val="19"/>
    <w:qFormat/>
    <w:uiPriority w:val="0"/>
    <w:rPr>
      <w:rFonts w:hint="default" w:ascii="Times New Roman" w:hAnsi="Times New Roman" w:cs="Times New Roman"/>
      <w:color w:val="000000"/>
      <w:sz w:val="21"/>
      <w:szCs w:val="21"/>
      <w:u w:val="none"/>
    </w:rPr>
  </w:style>
  <w:style w:type="character" w:customStyle="1" w:styleId="26">
    <w:name w:val="font41"/>
    <w:basedOn w:val="19"/>
    <w:qFormat/>
    <w:uiPriority w:val="0"/>
    <w:rPr>
      <w:rFonts w:hint="default" w:ascii="Times New Roman" w:hAnsi="Times New Roman" w:cs="Times New Roman"/>
      <w:color w:val="000000"/>
      <w:sz w:val="21"/>
      <w:szCs w:val="21"/>
      <w:u w:val="none"/>
      <w:vertAlign w:val="superscript"/>
    </w:rPr>
  </w:style>
  <w:style w:type="character" w:customStyle="1" w:styleId="27">
    <w:name w:val="font11"/>
    <w:basedOn w:val="19"/>
    <w:qFormat/>
    <w:uiPriority w:val="0"/>
    <w:rPr>
      <w:rFonts w:hint="default" w:ascii="Times New Roman" w:hAnsi="Times New Roman" w:cs="Times New Roman"/>
      <w:color w:val="000000"/>
      <w:sz w:val="21"/>
      <w:szCs w:val="21"/>
      <w:u w:val="none"/>
    </w:rPr>
  </w:style>
  <w:style w:type="paragraph" w:customStyle="1" w:styleId="28">
    <w:name w:val="游-1级标题-2024"/>
    <w:next w:val="1"/>
    <w:link w:val="29"/>
    <w:qFormat/>
    <w:uiPriority w:val="0"/>
    <w:pPr>
      <w:keepNext/>
      <w:pageBreakBefore/>
      <w:numPr>
        <w:ilvl w:val="0"/>
        <w:numId w:val="1"/>
      </w:numPr>
      <w:outlineLvl w:val="0"/>
    </w:pPr>
    <w:rPr>
      <w:rFonts w:ascii="Times New Roman" w:hAnsi="Times New Roman" w:eastAsia="仿宋" w:cstheme="minorBidi"/>
      <w:b/>
      <w:bCs/>
      <w:snapToGrid w:val="0"/>
      <w:sz w:val="24"/>
      <w:szCs w:val="44"/>
      <w:lang w:val="en-US" w:eastAsia="zh-CN" w:bidi="ar-SA"/>
    </w:rPr>
  </w:style>
  <w:style w:type="character" w:customStyle="1" w:styleId="29">
    <w:name w:val="游-1级标题-2024 字符"/>
    <w:basedOn w:val="19"/>
    <w:link w:val="28"/>
    <w:qFormat/>
    <w:uiPriority w:val="0"/>
    <w:rPr>
      <w:rFonts w:ascii="Times New Roman" w:hAnsi="Times New Roman" w:eastAsia="仿宋"/>
      <w:b/>
      <w:bCs/>
      <w:snapToGrid w:val="0"/>
      <w:kern w:val="0"/>
      <w:sz w:val="24"/>
      <w:szCs w:val="44"/>
    </w:rPr>
  </w:style>
  <w:style w:type="paragraph" w:customStyle="1" w:styleId="30">
    <w:name w:val="游-2级标题-2024"/>
    <w:next w:val="1"/>
    <w:link w:val="31"/>
    <w:qFormat/>
    <w:uiPriority w:val="0"/>
    <w:pPr>
      <w:keepNext/>
      <w:numPr>
        <w:ilvl w:val="1"/>
        <w:numId w:val="1"/>
      </w:numPr>
      <w:adjustRightInd w:val="0"/>
      <w:ind w:left="0"/>
      <w:outlineLvl w:val="1"/>
    </w:pPr>
    <w:rPr>
      <w:rFonts w:ascii="Times New Roman" w:hAnsi="Times New Roman" w:eastAsia="仿宋" w:cstheme="minorBidi"/>
      <w:b/>
      <w:bCs/>
      <w:sz w:val="24"/>
      <w:szCs w:val="32"/>
      <w:lang w:val="en-US" w:eastAsia="zh-CN" w:bidi="ar-SA"/>
    </w:rPr>
  </w:style>
  <w:style w:type="character" w:customStyle="1" w:styleId="31">
    <w:name w:val="游-2级标题-2024 字符"/>
    <w:basedOn w:val="19"/>
    <w:link w:val="30"/>
    <w:qFormat/>
    <w:uiPriority w:val="0"/>
    <w:rPr>
      <w:rFonts w:eastAsia="仿宋" w:cstheme="minorBidi"/>
      <w:b/>
      <w:bCs/>
      <w:sz w:val="24"/>
      <w:szCs w:val="32"/>
    </w:rPr>
  </w:style>
  <w:style w:type="paragraph" w:customStyle="1" w:styleId="32">
    <w:name w:val="游-3级标题-2024"/>
    <w:next w:val="1"/>
    <w:link w:val="33"/>
    <w:qFormat/>
    <w:uiPriority w:val="0"/>
    <w:pPr>
      <w:keepNext/>
      <w:numPr>
        <w:ilvl w:val="2"/>
        <w:numId w:val="1"/>
      </w:numPr>
      <w:outlineLvl w:val="2"/>
    </w:pPr>
    <w:rPr>
      <w:rFonts w:ascii="Times New Roman" w:hAnsi="Times New Roman" w:eastAsia="仿宋" w:cs="Times New Roman"/>
      <w:b/>
      <w:sz w:val="24"/>
      <w:szCs w:val="24"/>
      <w:lang w:val="en-US" w:eastAsia="zh-CN" w:bidi="ar-SA"/>
    </w:rPr>
  </w:style>
  <w:style w:type="character" w:customStyle="1" w:styleId="33">
    <w:name w:val="游-3级标题-2024 字符"/>
    <w:basedOn w:val="19"/>
    <w:link w:val="32"/>
    <w:qFormat/>
    <w:uiPriority w:val="0"/>
    <w:rPr>
      <w:rFonts w:ascii="Times New Roman" w:hAnsi="Times New Roman" w:eastAsia="仿宋" w:cs="Times New Roman"/>
      <w:b/>
      <w:kern w:val="0"/>
      <w:sz w:val="24"/>
      <w:szCs w:val="24"/>
    </w:rPr>
  </w:style>
  <w:style w:type="paragraph" w:customStyle="1" w:styleId="34">
    <w:name w:val="游-4级标题-2024"/>
    <w:next w:val="1"/>
    <w:link w:val="35"/>
    <w:qFormat/>
    <w:uiPriority w:val="0"/>
    <w:pPr>
      <w:numPr>
        <w:ilvl w:val="4"/>
        <w:numId w:val="1"/>
      </w:numPr>
      <w:outlineLvl w:val="3"/>
    </w:pPr>
    <w:rPr>
      <w:rFonts w:ascii="Times New Roman" w:hAnsi="Times New Roman" w:eastAsia="仿宋" w:cstheme="minorBidi"/>
      <w:b/>
      <w:snapToGrid w:val="0"/>
      <w:sz w:val="24"/>
      <w:szCs w:val="21"/>
      <w:lang w:val="en-US" w:eastAsia="zh-CN" w:bidi="ar-SA"/>
    </w:rPr>
  </w:style>
  <w:style w:type="character" w:customStyle="1" w:styleId="35">
    <w:name w:val="游-4级标题-2024 字符"/>
    <w:basedOn w:val="19"/>
    <w:link w:val="34"/>
    <w:qFormat/>
    <w:uiPriority w:val="0"/>
    <w:rPr>
      <w:rFonts w:ascii="Times New Roman" w:hAnsi="Times New Roman" w:eastAsia="仿宋"/>
      <w:b/>
      <w:snapToGrid w:val="0"/>
      <w:kern w:val="0"/>
      <w:sz w:val="24"/>
      <w:szCs w:val="21"/>
    </w:rPr>
  </w:style>
  <w:style w:type="paragraph" w:customStyle="1" w:styleId="36">
    <w:name w:val="游-表格文字-2024"/>
    <w:link w:val="37"/>
    <w:qFormat/>
    <w:uiPriority w:val="0"/>
    <w:pPr>
      <w:adjustRightInd w:val="0"/>
      <w:snapToGrid w:val="0"/>
      <w:jc w:val="center"/>
    </w:pPr>
    <w:rPr>
      <w:rFonts w:ascii="Times New Roman" w:hAnsi="Times New Roman" w:eastAsia="仿宋" w:cstheme="minorBidi"/>
      <w:snapToGrid w:val="0"/>
      <w:sz w:val="21"/>
      <w:szCs w:val="24"/>
      <w:lang w:val="en-US" w:eastAsia="zh-CN" w:bidi="ar-SA"/>
    </w:rPr>
  </w:style>
  <w:style w:type="character" w:customStyle="1" w:styleId="37">
    <w:name w:val="游-表格文字-2024 字符"/>
    <w:basedOn w:val="38"/>
    <w:link w:val="36"/>
    <w:qFormat/>
    <w:uiPriority w:val="0"/>
    <w:rPr>
      <w:rFonts w:ascii="Times New Roman" w:hAnsi="Times New Roman" w:eastAsia="仿宋"/>
      <w:b w:val="0"/>
      <w:snapToGrid w:val="0"/>
      <w:kern w:val="0"/>
      <w:sz w:val="24"/>
      <w:szCs w:val="24"/>
    </w:rPr>
  </w:style>
  <w:style w:type="character" w:customStyle="1" w:styleId="38">
    <w:name w:val="游-概述表题-2024 字符"/>
    <w:basedOn w:val="19"/>
    <w:link w:val="39"/>
    <w:qFormat/>
    <w:uiPriority w:val="0"/>
    <w:rPr>
      <w:rFonts w:ascii="Times New Roman" w:hAnsi="Times New Roman" w:eastAsia="仿宋"/>
      <w:b/>
      <w:snapToGrid w:val="0"/>
      <w:kern w:val="0"/>
      <w:sz w:val="24"/>
      <w:szCs w:val="21"/>
    </w:rPr>
  </w:style>
  <w:style w:type="paragraph" w:customStyle="1" w:styleId="39">
    <w:name w:val="游-概述表题-2024"/>
    <w:next w:val="36"/>
    <w:link w:val="38"/>
    <w:qFormat/>
    <w:uiPriority w:val="0"/>
    <w:pPr>
      <w:numPr>
        <w:ilvl w:val="0"/>
        <w:numId w:val="2"/>
      </w:numPr>
      <w:jc w:val="center"/>
    </w:pPr>
    <w:rPr>
      <w:rFonts w:ascii="Times New Roman" w:hAnsi="Times New Roman" w:eastAsia="仿宋" w:cstheme="minorBidi"/>
      <w:b/>
      <w:snapToGrid w:val="0"/>
      <w:sz w:val="24"/>
      <w:szCs w:val="21"/>
      <w:lang w:val="en-US" w:eastAsia="zh-CN" w:bidi="ar-SA"/>
    </w:rPr>
  </w:style>
  <w:style w:type="table" w:customStyle="1" w:styleId="40">
    <w:name w:val="游-表格样式-2024"/>
    <w:basedOn w:val="17"/>
    <w:qFormat/>
    <w:uiPriority w:val="99"/>
    <w:pPr>
      <w:jc w:val="center"/>
    </w:pPr>
    <w:rPr>
      <w:szCs w:val="21"/>
    </w:rPr>
    <w:tblPr>
      <w:tblBorders>
        <w:top w:val="single" w:color="auto" w:sz="12" w:space="0"/>
        <w:bottom w:val="single" w:color="auto" w:sz="12" w:space="0"/>
        <w:insideH w:val="single" w:color="auto" w:sz="4" w:space="0"/>
        <w:insideV w:val="single" w:color="auto" w:sz="4" w:space="0"/>
      </w:tblBorders>
      <w:tblLayout w:type="fixed"/>
    </w:tblPr>
    <w:tcPr>
      <w:vAlign w:val="center"/>
    </w:tcPr>
  </w:style>
  <w:style w:type="paragraph" w:customStyle="1" w:styleId="41">
    <w:name w:val="游-表注-2024"/>
    <w:link w:val="42"/>
    <w:qFormat/>
    <w:uiPriority w:val="0"/>
    <w:pPr>
      <w:adjustRightInd w:val="0"/>
      <w:snapToGrid w:val="0"/>
      <w:jc w:val="right"/>
      <w:textAlignment w:val="baseline"/>
    </w:pPr>
    <w:rPr>
      <w:rFonts w:ascii="Times New Roman" w:hAnsi="Times New Roman" w:eastAsia="仿宋" w:cstheme="minorBidi"/>
      <w:snapToGrid w:val="0"/>
      <w:sz w:val="21"/>
      <w:szCs w:val="21"/>
      <w:lang w:val="en-US" w:eastAsia="zh-CN" w:bidi="ar-SA"/>
    </w:rPr>
  </w:style>
  <w:style w:type="character" w:customStyle="1" w:styleId="42">
    <w:name w:val="游-表注-2024 字符"/>
    <w:basedOn w:val="19"/>
    <w:link w:val="41"/>
    <w:qFormat/>
    <w:uiPriority w:val="0"/>
    <w:rPr>
      <w:rFonts w:ascii="Times New Roman" w:hAnsi="Times New Roman" w:eastAsia="仿宋"/>
      <w:snapToGrid w:val="0"/>
      <w:kern w:val="0"/>
      <w:szCs w:val="21"/>
    </w:rPr>
  </w:style>
  <w:style w:type="paragraph" w:customStyle="1" w:styleId="43">
    <w:name w:val="游--概述1级标题--2024"/>
    <w:next w:val="1"/>
    <w:link w:val="44"/>
    <w:qFormat/>
    <w:uiPriority w:val="0"/>
    <w:pPr>
      <w:keepNext/>
      <w:numPr>
        <w:ilvl w:val="0"/>
        <w:numId w:val="3"/>
      </w:numPr>
      <w:outlineLvl w:val="1"/>
    </w:pPr>
    <w:rPr>
      <w:rFonts w:ascii="Times New Roman" w:hAnsi="Times New Roman" w:eastAsia="黑体" w:cstheme="minorBidi"/>
      <w:snapToGrid w:val="0"/>
      <w:sz w:val="24"/>
      <w:szCs w:val="21"/>
      <w:lang w:val="en-US" w:eastAsia="zh-CN" w:bidi="ar-SA"/>
    </w:rPr>
  </w:style>
  <w:style w:type="character" w:customStyle="1" w:styleId="44">
    <w:name w:val="游--概述1级标题--2024 字符"/>
    <w:basedOn w:val="19"/>
    <w:link w:val="43"/>
    <w:qFormat/>
    <w:uiPriority w:val="0"/>
    <w:rPr>
      <w:rFonts w:ascii="Times New Roman" w:hAnsi="Times New Roman" w:eastAsia="黑体"/>
      <w:snapToGrid w:val="0"/>
      <w:kern w:val="0"/>
      <w:sz w:val="24"/>
      <w:szCs w:val="21"/>
    </w:rPr>
  </w:style>
  <w:style w:type="paragraph" w:customStyle="1" w:styleId="45">
    <w:name w:val="游-概述2级标题-2024"/>
    <w:next w:val="1"/>
    <w:link w:val="46"/>
    <w:qFormat/>
    <w:uiPriority w:val="0"/>
    <w:pPr>
      <w:numPr>
        <w:ilvl w:val="1"/>
        <w:numId w:val="3"/>
      </w:numPr>
      <w:outlineLvl w:val="2"/>
    </w:pPr>
    <w:rPr>
      <w:rFonts w:ascii="Times New Roman" w:hAnsi="Times New Roman" w:eastAsia="黑体" w:cstheme="minorBidi"/>
      <w:snapToGrid w:val="0"/>
      <w:sz w:val="24"/>
      <w:szCs w:val="21"/>
      <w:lang w:val="en-US" w:eastAsia="zh-CN" w:bidi="ar-SA"/>
    </w:rPr>
  </w:style>
  <w:style w:type="character" w:customStyle="1" w:styleId="46">
    <w:name w:val="游-概述2级标题-2024 字符"/>
    <w:basedOn w:val="19"/>
    <w:link w:val="45"/>
    <w:qFormat/>
    <w:uiPriority w:val="0"/>
    <w:rPr>
      <w:rFonts w:ascii="Times New Roman" w:hAnsi="Times New Roman" w:eastAsia="黑体"/>
      <w:snapToGrid w:val="0"/>
      <w:kern w:val="0"/>
      <w:sz w:val="24"/>
      <w:szCs w:val="21"/>
    </w:rPr>
  </w:style>
  <w:style w:type="paragraph" w:customStyle="1" w:styleId="47">
    <w:name w:val="游-概述标题-2024"/>
    <w:next w:val="1"/>
    <w:link w:val="48"/>
    <w:qFormat/>
    <w:uiPriority w:val="0"/>
    <w:pPr>
      <w:pageBreakBefore/>
      <w:jc w:val="center"/>
      <w:outlineLvl w:val="0"/>
    </w:pPr>
    <w:rPr>
      <w:rFonts w:ascii="Times New Roman" w:hAnsi="Times New Roman" w:eastAsia="黑体" w:cstheme="minorBidi"/>
      <w:bCs/>
      <w:snapToGrid w:val="0"/>
      <w:kern w:val="44"/>
      <w:sz w:val="24"/>
      <w:szCs w:val="44"/>
      <w:lang w:val="en-US" w:eastAsia="zh-CN" w:bidi="ar-SA"/>
    </w:rPr>
  </w:style>
  <w:style w:type="character" w:customStyle="1" w:styleId="48">
    <w:name w:val="游-概述标题-2024 字符"/>
    <w:basedOn w:val="19"/>
    <w:link w:val="47"/>
    <w:qFormat/>
    <w:uiPriority w:val="0"/>
    <w:rPr>
      <w:rFonts w:ascii="Times New Roman" w:hAnsi="Times New Roman" w:eastAsia="黑体"/>
      <w:bCs/>
      <w:snapToGrid w:val="0"/>
      <w:kern w:val="44"/>
      <w:sz w:val="24"/>
      <w:szCs w:val="44"/>
    </w:rPr>
  </w:style>
  <w:style w:type="paragraph" w:customStyle="1" w:styleId="49">
    <w:name w:val="游-概述图题-2024"/>
    <w:next w:val="1"/>
    <w:link w:val="50"/>
    <w:qFormat/>
    <w:uiPriority w:val="0"/>
    <w:pPr>
      <w:numPr>
        <w:ilvl w:val="0"/>
        <w:numId w:val="4"/>
      </w:numPr>
      <w:jc w:val="center"/>
    </w:pPr>
    <w:rPr>
      <w:rFonts w:ascii="Times New Roman" w:hAnsi="Times New Roman" w:eastAsia="仿宋" w:cstheme="minorBidi"/>
      <w:b/>
      <w:snapToGrid w:val="0"/>
      <w:sz w:val="24"/>
      <w:szCs w:val="21"/>
      <w:lang w:val="en-US" w:eastAsia="zh-CN" w:bidi="ar-SA"/>
    </w:rPr>
  </w:style>
  <w:style w:type="character" w:customStyle="1" w:styleId="50">
    <w:name w:val="游-概述图题-2024 字符"/>
    <w:basedOn w:val="19"/>
    <w:link w:val="49"/>
    <w:qFormat/>
    <w:uiPriority w:val="0"/>
    <w:rPr>
      <w:rFonts w:ascii="Times New Roman" w:hAnsi="Times New Roman" w:eastAsia="仿宋"/>
      <w:b/>
      <w:snapToGrid w:val="0"/>
      <w:kern w:val="0"/>
      <w:sz w:val="24"/>
      <w:szCs w:val="21"/>
    </w:rPr>
  </w:style>
  <w:style w:type="paragraph" w:customStyle="1" w:styleId="51">
    <w:name w:val="游--正文--2024"/>
    <w:link w:val="64"/>
    <w:qFormat/>
    <w:uiPriority w:val="0"/>
    <w:pPr>
      <w:widowControl w:val="0"/>
      <w:ind w:firstLine="200" w:firstLineChars="200"/>
      <w:jc w:val="both"/>
    </w:pPr>
    <w:rPr>
      <w:rFonts w:ascii="Times New Roman" w:hAnsi="Times New Roman" w:eastAsia="仿宋" w:cs="Times New Roman"/>
      <w:snapToGrid w:val="0"/>
      <w:sz w:val="24"/>
      <w:szCs w:val="21"/>
      <w:lang w:val="en-GB" w:eastAsia="zh-CN" w:bidi="ar-SA"/>
    </w:rPr>
  </w:style>
  <w:style w:type="paragraph" w:customStyle="1" w:styleId="52">
    <w:name w:val="游-正文表题-2024"/>
    <w:next w:val="36"/>
    <w:link w:val="53"/>
    <w:qFormat/>
    <w:uiPriority w:val="0"/>
    <w:pPr>
      <w:keepNext/>
      <w:numPr>
        <w:ilvl w:val="3"/>
        <w:numId w:val="1"/>
      </w:numPr>
      <w:ind w:left="0"/>
      <w:jc w:val="center"/>
      <w:outlineLvl w:val="4"/>
    </w:pPr>
    <w:rPr>
      <w:rFonts w:ascii="Times New Roman" w:hAnsi="Times New Roman" w:eastAsia="仿宋" w:cstheme="minorBidi"/>
      <w:b/>
      <w:snapToGrid w:val="0"/>
      <w:sz w:val="24"/>
      <w:szCs w:val="21"/>
      <w:lang w:val="en-US" w:eastAsia="zh-CN" w:bidi="ar-SA"/>
    </w:rPr>
  </w:style>
  <w:style w:type="character" w:customStyle="1" w:styleId="53">
    <w:name w:val="游-正文表题-2024 字符"/>
    <w:basedOn w:val="19"/>
    <w:link w:val="52"/>
    <w:qFormat/>
    <w:uiPriority w:val="0"/>
    <w:rPr>
      <w:rFonts w:eastAsia="仿宋" w:cstheme="minorBidi"/>
      <w:b/>
      <w:snapToGrid w:val="0"/>
      <w:sz w:val="24"/>
      <w:szCs w:val="21"/>
    </w:rPr>
  </w:style>
  <w:style w:type="paragraph" w:customStyle="1" w:styleId="54">
    <w:name w:val="游-正文图题-2024"/>
    <w:next w:val="51"/>
    <w:link w:val="55"/>
    <w:qFormat/>
    <w:uiPriority w:val="0"/>
    <w:pPr>
      <w:numPr>
        <w:ilvl w:val="5"/>
        <w:numId w:val="1"/>
      </w:numPr>
      <w:jc w:val="center"/>
      <w:outlineLvl w:val="4"/>
    </w:pPr>
    <w:rPr>
      <w:rFonts w:ascii="Times New Roman" w:hAnsi="Times New Roman" w:eastAsia="仿宋" w:cstheme="minorBidi"/>
      <w:b/>
      <w:bCs/>
      <w:sz w:val="24"/>
      <w:szCs w:val="21"/>
      <w:lang w:val="en-US" w:eastAsia="zh-CN" w:bidi="ar-SA"/>
    </w:rPr>
  </w:style>
  <w:style w:type="character" w:customStyle="1" w:styleId="55">
    <w:name w:val="游-正文图题-2024 字符"/>
    <w:basedOn w:val="19"/>
    <w:link w:val="54"/>
    <w:qFormat/>
    <w:uiPriority w:val="0"/>
    <w:rPr>
      <w:rFonts w:eastAsia="仿宋" w:cstheme="minorBidi"/>
      <w:b/>
      <w:bCs/>
      <w:sz w:val="24"/>
      <w:szCs w:val="21"/>
    </w:rPr>
  </w:style>
  <w:style w:type="character" w:customStyle="1" w:styleId="56">
    <w:name w:val="标题 1 字符"/>
    <w:basedOn w:val="19"/>
    <w:link w:val="2"/>
    <w:qFormat/>
    <w:uiPriority w:val="0"/>
    <w:rPr>
      <w:rFonts w:ascii="Times New Roman" w:hAnsi="Times New Roman" w:eastAsia="宋体"/>
      <w:b/>
      <w:bCs/>
      <w:snapToGrid w:val="0"/>
      <w:kern w:val="0"/>
      <w:sz w:val="28"/>
      <w:szCs w:val="44"/>
    </w:rPr>
  </w:style>
  <w:style w:type="character" w:customStyle="1" w:styleId="57">
    <w:name w:val="标题 2 字符"/>
    <w:basedOn w:val="19"/>
    <w:link w:val="3"/>
    <w:qFormat/>
    <w:uiPriority w:val="9"/>
    <w:rPr>
      <w:rFonts w:ascii="Times New Roman" w:hAnsi="Times New Roman" w:eastAsia="黑体" w:cstheme="majorBidi"/>
      <w:bCs/>
      <w:snapToGrid w:val="0"/>
      <w:kern w:val="0"/>
      <w:sz w:val="24"/>
      <w:szCs w:val="32"/>
    </w:rPr>
  </w:style>
  <w:style w:type="character" w:customStyle="1" w:styleId="58">
    <w:name w:val="标题 3 字符"/>
    <w:basedOn w:val="19"/>
    <w:link w:val="4"/>
    <w:qFormat/>
    <w:uiPriority w:val="0"/>
    <w:rPr>
      <w:rFonts w:ascii="Times New Roman" w:hAnsi="Times New Roman" w:eastAsia="黑体"/>
      <w:bCs/>
      <w:kern w:val="0"/>
      <w:sz w:val="24"/>
      <w:szCs w:val="32"/>
    </w:rPr>
  </w:style>
  <w:style w:type="character" w:customStyle="1" w:styleId="59">
    <w:name w:val="标题 4 字符"/>
    <w:basedOn w:val="19"/>
    <w:link w:val="5"/>
    <w:qFormat/>
    <w:uiPriority w:val="0"/>
    <w:rPr>
      <w:rFonts w:ascii="Times New Roman" w:hAnsi="Times New Roman" w:eastAsia="宋体" w:cstheme="majorBidi"/>
      <w:bCs/>
      <w:snapToGrid w:val="0"/>
      <w:kern w:val="0"/>
      <w:sz w:val="24"/>
      <w:szCs w:val="28"/>
    </w:rPr>
  </w:style>
  <w:style w:type="character" w:customStyle="1" w:styleId="60">
    <w:name w:val="标题 5 字符"/>
    <w:basedOn w:val="19"/>
    <w:link w:val="6"/>
    <w:qFormat/>
    <w:uiPriority w:val="0"/>
    <w:rPr>
      <w:rFonts w:ascii="Times New Roman" w:hAnsi="Times New Roman" w:eastAsia="宋体" w:cs="Times New Roman"/>
      <w:b/>
      <w:bCs/>
      <w:snapToGrid w:val="0"/>
      <w:kern w:val="0"/>
      <w:sz w:val="28"/>
      <w:szCs w:val="28"/>
    </w:rPr>
  </w:style>
  <w:style w:type="character" w:customStyle="1" w:styleId="61">
    <w:name w:val="标题 6 字符"/>
    <w:basedOn w:val="19"/>
    <w:link w:val="7"/>
    <w:qFormat/>
    <w:uiPriority w:val="0"/>
    <w:rPr>
      <w:rFonts w:ascii="Calibri Light" w:hAnsi="Calibri Light" w:eastAsia="宋体" w:cs="Times New Roman"/>
      <w:b/>
      <w:bCs/>
      <w:snapToGrid w:val="0"/>
      <w:kern w:val="0"/>
      <w:sz w:val="24"/>
      <w:szCs w:val="24"/>
    </w:rPr>
  </w:style>
  <w:style w:type="character" w:customStyle="1" w:styleId="62">
    <w:name w:val="标题 8 字符"/>
    <w:basedOn w:val="19"/>
    <w:link w:val="9"/>
    <w:qFormat/>
    <w:uiPriority w:val="99"/>
    <w:rPr>
      <w:rFonts w:ascii="Calibri Light" w:hAnsi="Calibri Light" w:eastAsia="宋体" w:cs="Times New Roman"/>
      <w:snapToGrid w:val="0"/>
      <w:kern w:val="0"/>
      <w:sz w:val="24"/>
      <w:szCs w:val="24"/>
    </w:rPr>
  </w:style>
  <w:style w:type="character" w:customStyle="1" w:styleId="63">
    <w:name w:val="标题 9 字符"/>
    <w:basedOn w:val="19"/>
    <w:link w:val="10"/>
    <w:qFormat/>
    <w:uiPriority w:val="99"/>
    <w:rPr>
      <w:rFonts w:ascii="Calibri Light" w:hAnsi="Calibri Light" w:eastAsia="宋体" w:cs="Times New Roman"/>
      <w:snapToGrid w:val="0"/>
      <w:kern w:val="0"/>
      <w:sz w:val="24"/>
      <w:szCs w:val="21"/>
    </w:rPr>
  </w:style>
  <w:style w:type="character" w:customStyle="1" w:styleId="64">
    <w:name w:val="游--正文--2024 Char"/>
    <w:link w:val="51"/>
    <w:qFormat/>
    <w:uiPriority w:val="0"/>
    <w:rPr>
      <w:rFonts w:eastAsia="仿宋"/>
      <w:snapToGrid w:val="0"/>
      <w:sz w:val="24"/>
      <w:szCs w:val="21"/>
      <w:lang w:val="en-GB"/>
    </w:rPr>
  </w:style>
  <w:style w:type="character" w:customStyle="1" w:styleId="65">
    <w:name w:val="标题 7 字符"/>
    <w:basedOn w:val="19"/>
    <w:link w:val="8"/>
    <w:qFormat/>
    <w:uiPriority w:val="0"/>
    <w:rPr>
      <w:kern w:val="24"/>
      <w:sz w:val="21"/>
      <w:szCs w:val="22"/>
    </w:rPr>
  </w:style>
  <w:style w:type="table" w:customStyle="1" w:styleId="66">
    <w:name w:val="Table Normal"/>
    <w:semiHidden/>
    <w:unhideWhenUsed/>
    <w:qFormat/>
    <w:uiPriority w:val="0"/>
    <w:tblPr>
      <w:tblLayout w:type="fixed"/>
      <w:tblCellMar>
        <w:top w:w="0" w:type="dxa"/>
        <w:left w:w="0" w:type="dxa"/>
        <w:bottom w:w="0" w:type="dxa"/>
        <w:right w:w="0" w:type="dxa"/>
      </w:tblCellMar>
    </w:tblPr>
  </w:style>
  <w:style w:type="paragraph" w:customStyle="1" w:styleId="67">
    <w:name w:val="Table Text"/>
    <w:basedOn w:val="1"/>
    <w:semiHidden/>
    <w:qFormat/>
    <w:uiPriority w:val="0"/>
    <w:rPr>
      <w:rFonts w:ascii="宋体" w:hAnsi="宋体" w:cs="宋体"/>
      <w:sz w:val="20"/>
      <w:szCs w:val="20"/>
      <w:lang w:eastAsia="en-US"/>
    </w:rPr>
  </w:style>
  <w:style w:type="character" w:customStyle="1" w:styleId="68">
    <w:name w:val="批注框文本 字符"/>
    <w:basedOn w:val="19"/>
    <w:link w:val="13"/>
    <w:semiHidden/>
    <w:qFormat/>
    <w:uiPriority w:val="99"/>
    <w:rPr>
      <w:kern w:val="2"/>
      <w:sz w:val="18"/>
      <w:szCs w:val="18"/>
    </w:rPr>
  </w:style>
  <w:style w:type="paragraph" w:customStyle="1" w:styleId="69">
    <w:name w:val="列出段落1"/>
    <w:basedOn w:val="1"/>
    <w:qFormat/>
    <w:uiPriority w:val="0"/>
    <w:pPr>
      <w:adjustRightInd/>
      <w:snapToGrid/>
      <w:ind w:firstLine="420" w:firstLineChars="200"/>
      <w:jc w:val="both"/>
    </w:pPr>
  </w:style>
  <w:style w:type="paragraph" w:customStyle="1" w:styleId="70">
    <w:name w:val="附录性质"/>
    <w:next w:val="1"/>
    <w:qFormat/>
    <w:uiPriority w:val="0"/>
    <w:pPr>
      <w:numPr>
        <w:ilvl w:val="4"/>
        <w:numId w:val="5"/>
      </w:numPr>
      <w:tabs>
        <w:tab w:val="left" w:pos="1174"/>
      </w:tabs>
      <w:spacing w:line="440" w:lineRule="exact"/>
      <w:ind w:left="0"/>
      <w:jc w:val="center"/>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Times New Roman"/>
        <a:ea typeface="仿宋"/>
        <a:cs typeface=""/>
      </a:majorFont>
      <a:minorFont>
        <a:latin typeface="Times New Roman"/>
        <a:ea typeface="仿宋"/>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7EF62-7F3C-464B-A81D-26A0DA64A7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135</Pages>
  <Words>10477</Words>
  <Characters>11858</Characters>
  <Lines>700</Lines>
  <Paragraphs>197</Paragraphs>
  <TotalTime>62</TotalTime>
  <ScaleCrop>false</ScaleCrop>
  <LinksUpToDate>false</LinksUpToDate>
  <CharactersWithSpaces>11947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2024-12-01T12:05:00Z</dcterms:created>
  <dc:creator>Administrator</dc:creator>
  <cp:lastModifiedBy>I</cp:lastModifiedBy>
  <cp:lastPrinted>2024-12-23T02:37:00Z</cp:lastPrinted>
  <dcterms:modified xsi:type="dcterms:W3CDTF">2026-08-12T06:11:57Z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23B68BF3ADF3458BBAD1BE21F4AEED03_13</vt:lpwstr>
  </property>
  <property fmtid="{D5CDD505-2E9C-101B-9397-08002B2CF9AE}" pid="4" name="KSOTemplateDocerSaveRecord">
    <vt:lpwstr>eyJoZGlkIjoiMjdmYTA1YzBjNDliZGFlN2I3MjZhMDQyYzhkMGFjNGQiLCJ1c2VySWQiOiIyNzE0NjI2NjUifQ==</vt:lpwstr>
  </property>
</Properties>
</file>