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val="0"/>
        <w:overflowPunct w:val="0"/>
        <w:spacing w:line="360" w:lineRule="exact"/>
        <w:jc w:val="center"/>
        <w:rPr>
          <w:rFonts w:hint="default" w:ascii="Times New Roman" w:hAnsi="Times New Roman" w:eastAsia="方正小标宋_GBK" w:cs="Times New Roman"/>
          <w:b w:val="0"/>
          <w:bCs w:val="0"/>
          <w:sz w:val="36"/>
          <w:szCs w:val="36"/>
          <w:lang w:val="en-US" w:eastAsia="zh-CN"/>
        </w:rPr>
      </w:pPr>
      <w:r>
        <w:rPr>
          <w:rFonts w:hint="eastAsia" w:eastAsia="方正小标宋_GBK" w:cs="Times New Roman"/>
          <w:b w:val="0"/>
          <w:bCs w:val="0"/>
          <w:sz w:val="36"/>
          <w:szCs w:val="36"/>
          <w:lang w:val="en-US" w:eastAsia="zh-CN"/>
        </w:rPr>
        <w:t>沅陵县财政局</w:t>
      </w:r>
      <w:r>
        <w:rPr>
          <w:rFonts w:hint="default" w:ascii="Times New Roman" w:hAnsi="Times New Roman" w:eastAsia="方正小标宋_GBK" w:cs="Times New Roman"/>
          <w:b w:val="0"/>
          <w:bCs w:val="0"/>
          <w:sz w:val="36"/>
          <w:szCs w:val="36"/>
          <w:lang w:val="en-US" w:eastAsia="zh-CN"/>
        </w:rPr>
        <w:t>政府信息主动公开事项目录</w:t>
      </w:r>
    </w:p>
    <w:p>
      <w:pPr>
        <w:keepNext w:val="0"/>
        <w:keepLines w:val="0"/>
        <w:pageBreakBefore w:val="0"/>
        <w:kinsoku/>
        <w:wordWrap/>
        <w:topLinePunct w:val="0"/>
        <w:autoSpaceDE/>
        <w:autoSpaceDN/>
        <w:bidi w:val="0"/>
        <w:adjustRightInd/>
        <w:snapToGrid/>
        <w:spacing w:line="360" w:lineRule="exact"/>
        <w:jc w:val="center"/>
        <w:textAlignment w:val="baseline"/>
        <w:rPr>
          <w:rFonts w:hint="default" w:ascii="Times New Roman" w:hAnsi="Times New Roman" w:eastAsia="楷体" w:cs="Times New Roman"/>
          <w:b/>
          <w:bCs/>
          <w:kern w:val="2"/>
          <w:sz w:val="28"/>
          <w:szCs w:val="28"/>
          <w:lang w:val="en-US" w:eastAsia="zh-CN" w:bidi="ar-SA"/>
        </w:rPr>
      </w:pPr>
      <w:r>
        <w:rPr>
          <w:rFonts w:hint="default" w:ascii="Times New Roman" w:hAnsi="Times New Roman" w:eastAsia="楷体" w:cs="Times New Roman"/>
          <w:b/>
          <w:bCs/>
          <w:kern w:val="2"/>
          <w:sz w:val="28"/>
          <w:szCs w:val="28"/>
          <w:lang w:val="en-US" w:eastAsia="zh-CN" w:bidi="ar-SA"/>
        </w:rPr>
        <w:t>公开主体：</w:t>
      </w:r>
      <w:r>
        <w:rPr>
          <w:rFonts w:hint="eastAsia" w:eastAsia="楷体" w:cs="Times New Roman"/>
          <w:b/>
          <w:bCs/>
          <w:kern w:val="2"/>
          <w:sz w:val="28"/>
          <w:szCs w:val="28"/>
          <w:lang w:val="en-US" w:eastAsia="zh-CN" w:bidi="ar-SA"/>
        </w:rPr>
        <w:t>沅陵县财政局</w:t>
      </w:r>
    </w:p>
    <w:tbl>
      <w:tblPr>
        <w:tblStyle w:val="5"/>
        <w:tblW w:w="1412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8"/>
        <w:gridCol w:w="1074"/>
        <w:gridCol w:w="1142"/>
        <w:gridCol w:w="2169"/>
        <w:gridCol w:w="2031"/>
        <w:gridCol w:w="750"/>
        <w:gridCol w:w="2527"/>
        <w:gridCol w:w="1246"/>
        <w:gridCol w:w="272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90" w:hRule="atLeast"/>
          <w:tblHeader/>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i w:val="0"/>
                <w:iCs w:val="0"/>
                <w:color w:val="000000"/>
                <w:kern w:val="0"/>
                <w:sz w:val="21"/>
                <w:szCs w:val="21"/>
                <w:u w:val="none"/>
                <w:lang w:val="en-US" w:eastAsia="zh-CN" w:bidi="ar"/>
              </w:rPr>
            </w:pPr>
            <w:r>
              <w:rPr>
                <w:rFonts w:hint="default" w:ascii="Times New Roman" w:hAnsi="Times New Roman" w:eastAsia="黑体" w:cs="Times New Roman"/>
                <w:i w:val="0"/>
                <w:iCs w:val="0"/>
                <w:color w:val="000000"/>
                <w:kern w:val="0"/>
                <w:sz w:val="21"/>
                <w:szCs w:val="21"/>
                <w:u w:val="none"/>
                <w:lang w:val="en-US" w:eastAsia="zh-CN" w:bidi="ar"/>
              </w:rPr>
              <w:t>序号</w:t>
            </w:r>
          </w:p>
        </w:tc>
        <w:tc>
          <w:tcPr>
            <w:tcW w:w="10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i w:val="0"/>
                <w:iCs w:val="0"/>
                <w:color w:val="000000"/>
                <w:kern w:val="0"/>
                <w:sz w:val="21"/>
                <w:szCs w:val="21"/>
                <w:u w:val="none"/>
                <w:lang w:val="en-US" w:eastAsia="zh-CN" w:bidi="ar"/>
              </w:rPr>
            </w:pPr>
            <w:r>
              <w:rPr>
                <w:rFonts w:hint="default" w:ascii="Times New Roman" w:hAnsi="Times New Roman" w:eastAsia="黑体" w:cs="Times New Roman"/>
                <w:i w:val="0"/>
                <w:iCs w:val="0"/>
                <w:color w:val="000000"/>
                <w:kern w:val="0"/>
                <w:sz w:val="21"/>
                <w:szCs w:val="21"/>
                <w:u w:val="none"/>
                <w:lang w:val="en-US" w:eastAsia="zh-CN" w:bidi="ar"/>
              </w:rPr>
              <w:t>事项类别</w:t>
            </w:r>
          </w:p>
        </w:tc>
        <w:tc>
          <w:tcPr>
            <w:tcW w:w="11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i w:val="0"/>
                <w:iCs w:val="0"/>
                <w:color w:val="000000"/>
                <w:kern w:val="0"/>
                <w:sz w:val="21"/>
                <w:szCs w:val="21"/>
                <w:u w:val="none"/>
                <w:lang w:val="en-US" w:eastAsia="zh-CN" w:bidi="ar"/>
              </w:rPr>
            </w:pPr>
            <w:r>
              <w:rPr>
                <w:rFonts w:hint="default" w:ascii="Times New Roman" w:hAnsi="Times New Roman" w:eastAsia="黑体" w:cs="Times New Roman"/>
                <w:i w:val="0"/>
                <w:iCs w:val="0"/>
                <w:color w:val="000000"/>
                <w:kern w:val="0"/>
                <w:sz w:val="21"/>
                <w:szCs w:val="21"/>
                <w:u w:val="none"/>
                <w:lang w:val="en-US" w:eastAsia="zh-CN" w:bidi="ar"/>
              </w:rPr>
              <w:t>事项名称</w:t>
            </w:r>
          </w:p>
        </w:tc>
        <w:tc>
          <w:tcPr>
            <w:tcW w:w="21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i w:val="0"/>
                <w:iCs w:val="0"/>
                <w:color w:val="000000"/>
                <w:kern w:val="0"/>
                <w:sz w:val="21"/>
                <w:szCs w:val="21"/>
                <w:u w:val="none"/>
                <w:lang w:val="en-US" w:eastAsia="zh-CN" w:bidi="ar"/>
              </w:rPr>
            </w:pPr>
            <w:r>
              <w:rPr>
                <w:rFonts w:hint="default" w:ascii="Times New Roman" w:hAnsi="Times New Roman" w:eastAsia="黑体" w:cs="Times New Roman"/>
                <w:i w:val="0"/>
                <w:iCs w:val="0"/>
                <w:color w:val="000000"/>
                <w:kern w:val="0"/>
                <w:sz w:val="21"/>
                <w:szCs w:val="21"/>
                <w:u w:val="none"/>
                <w:lang w:val="en-US" w:eastAsia="zh-CN" w:bidi="ar"/>
              </w:rPr>
              <w:t>公开内容</w:t>
            </w:r>
          </w:p>
        </w:tc>
        <w:tc>
          <w:tcPr>
            <w:tcW w:w="20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i w:val="0"/>
                <w:iCs w:val="0"/>
                <w:color w:val="000000"/>
                <w:kern w:val="0"/>
                <w:sz w:val="21"/>
                <w:szCs w:val="21"/>
                <w:u w:val="none"/>
                <w:lang w:val="en-US" w:eastAsia="zh-CN" w:bidi="ar"/>
              </w:rPr>
            </w:pPr>
            <w:r>
              <w:rPr>
                <w:rFonts w:hint="default" w:ascii="Times New Roman" w:hAnsi="Times New Roman" w:eastAsia="黑体" w:cs="Times New Roman"/>
                <w:i w:val="0"/>
                <w:iCs w:val="0"/>
                <w:color w:val="000000"/>
                <w:kern w:val="0"/>
                <w:sz w:val="21"/>
                <w:szCs w:val="21"/>
                <w:u w:val="none"/>
                <w:lang w:val="en-US" w:eastAsia="zh-CN" w:bidi="ar"/>
              </w:rPr>
              <w:t>公开依据</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i w:val="0"/>
                <w:iCs w:val="0"/>
                <w:color w:val="000000"/>
                <w:kern w:val="0"/>
                <w:sz w:val="21"/>
                <w:szCs w:val="21"/>
                <w:u w:val="none"/>
                <w:lang w:val="en-US" w:eastAsia="zh-CN" w:bidi="ar"/>
              </w:rPr>
            </w:pPr>
            <w:r>
              <w:rPr>
                <w:rFonts w:hint="default" w:ascii="Times New Roman" w:hAnsi="Times New Roman" w:eastAsia="黑体" w:cs="Times New Roman"/>
                <w:i w:val="0"/>
                <w:iCs w:val="0"/>
                <w:color w:val="000000"/>
                <w:kern w:val="0"/>
                <w:sz w:val="21"/>
                <w:szCs w:val="21"/>
                <w:u w:val="none"/>
                <w:lang w:val="en-US" w:eastAsia="zh-CN" w:bidi="ar"/>
              </w:rPr>
              <w:t>公开渠道</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i w:val="0"/>
                <w:iCs w:val="0"/>
                <w:color w:val="000000"/>
                <w:kern w:val="0"/>
                <w:sz w:val="21"/>
                <w:szCs w:val="21"/>
                <w:u w:val="none"/>
                <w:lang w:val="en-US" w:eastAsia="zh-CN" w:bidi="ar"/>
              </w:rPr>
            </w:pPr>
            <w:r>
              <w:rPr>
                <w:rFonts w:hint="default" w:ascii="Times New Roman" w:hAnsi="Times New Roman" w:eastAsia="黑体" w:cs="Times New Roman"/>
                <w:i w:val="0"/>
                <w:iCs w:val="0"/>
                <w:color w:val="000000"/>
                <w:kern w:val="0"/>
                <w:sz w:val="21"/>
                <w:szCs w:val="21"/>
                <w:u w:val="none"/>
                <w:lang w:val="en-US" w:eastAsia="zh-CN" w:bidi="ar"/>
              </w:rPr>
              <w:t>公开时限</w:t>
            </w:r>
          </w:p>
        </w:tc>
        <w:tc>
          <w:tcPr>
            <w:tcW w:w="12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i w:val="0"/>
                <w:iCs w:val="0"/>
                <w:color w:val="000000"/>
                <w:kern w:val="0"/>
                <w:sz w:val="21"/>
                <w:szCs w:val="21"/>
                <w:u w:val="none"/>
                <w:lang w:val="en-US" w:eastAsia="zh-CN" w:bidi="ar"/>
              </w:rPr>
            </w:pPr>
            <w:r>
              <w:rPr>
                <w:rFonts w:hint="default" w:ascii="Times New Roman" w:hAnsi="Times New Roman" w:eastAsia="黑体" w:cs="Times New Roman"/>
                <w:i w:val="0"/>
                <w:iCs w:val="0"/>
                <w:color w:val="000000"/>
                <w:kern w:val="0"/>
                <w:sz w:val="21"/>
                <w:szCs w:val="21"/>
                <w:u w:val="none"/>
                <w:lang w:val="en-US" w:eastAsia="zh-CN" w:bidi="ar"/>
              </w:rPr>
              <w:t>公开责任</w:t>
            </w:r>
          </w:p>
        </w:tc>
        <w:tc>
          <w:tcPr>
            <w:tcW w:w="27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val="0"/>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i w:val="0"/>
                <w:iCs w:val="0"/>
                <w:color w:val="auto"/>
                <w:kern w:val="0"/>
                <w:sz w:val="21"/>
                <w:szCs w:val="21"/>
                <w:u w:val="none"/>
                <w:lang w:val="en-US" w:eastAsia="zh-CN" w:bidi="ar"/>
              </w:rPr>
            </w:pPr>
            <w:r>
              <w:rPr>
                <w:rFonts w:hint="default" w:ascii="Times New Roman" w:hAnsi="Times New Roman" w:eastAsia="黑体" w:cs="Times New Roman"/>
                <w:i w:val="0"/>
                <w:iCs w:val="0"/>
                <w:color w:val="auto"/>
                <w:kern w:val="0"/>
                <w:sz w:val="21"/>
                <w:szCs w:val="21"/>
                <w:u w:val="none"/>
                <w:lang w:val="en-US" w:eastAsia="zh-CN" w:bidi="ar"/>
              </w:rPr>
              <w:t>链接地址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311" w:hRule="atLeast"/>
        </w:trPr>
        <w:tc>
          <w:tcPr>
            <w:tcW w:w="458"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107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政策文件</w:t>
            </w:r>
          </w:p>
        </w:tc>
        <w:tc>
          <w:tcPr>
            <w:tcW w:w="11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行政规范性文件</w:t>
            </w:r>
          </w:p>
        </w:tc>
        <w:tc>
          <w:tcPr>
            <w:tcW w:w="21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行政规范性文件及解读</w:t>
            </w:r>
          </w:p>
        </w:tc>
        <w:tc>
          <w:tcPr>
            <w:tcW w:w="20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《中华人民共和国政府信息公开条例》（国务院令第711号）第二十条</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政府网站</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自该政府信息形成或者变更之日起20个工作日内</w:t>
            </w:r>
          </w:p>
        </w:tc>
        <w:tc>
          <w:tcPr>
            <w:tcW w:w="12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eastAsia" w:eastAsia="方正仿宋_GBK" w:cs="Times New Roman"/>
                <w:b w:val="0"/>
                <w:bCs w:val="0"/>
                <w:i w:val="0"/>
                <w:iCs w:val="0"/>
                <w:u w:val="none"/>
                <w:lang w:val="en-US" w:eastAsia="zh-CN" w:bidi="ar"/>
              </w:rPr>
              <w:t>办公室</w:t>
            </w:r>
          </w:p>
        </w:tc>
        <w:tc>
          <w:tcPr>
            <w:tcW w:w="27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val="0"/>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color w:val="auto"/>
                <w:lang w:val="en-US" w:eastAsia="zh-CN" w:bidi="ar"/>
              </w:rPr>
            </w:pPr>
            <w:r>
              <w:rPr>
                <w:rFonts w:hint="default" w:ascii="Times New Roman" w:hAnsi="Times New Roman" w:eastAsia="方正仿宋_GBK" w:cs="Times New Roman"/>
                <w:i w:val="0"/>
                <w:iCs w:val="0"/>
                <w:color w:val="auto"/>
                <w:sz w:val="20"/>
                <w:szCs w:val="20"/>
                <w:u w:val="none"/>
              </w:rPr>
              <w:t>https://www.yuanling.gov.cn/yuanling/c108858/zfxxgkMultiList.shtml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206" w:hRule="atLeast"/>
        </w:trPr>
        <w:tc>
          <w:tcPr>
            <w:tcW w:w="45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iCs w:val="0"/>
                <w:color w:val="000000"/>
                <w:sz w:val="20"/>
                <w:szCs w:val="20"/>
                <w:u w:val="none"/>
              </w:rPr>
            </w:pPr>
          </w:p>
        </w:tc>
        <w:tc>
          <w:tcPr>
            <w:tcW w:w="1074"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7"/>
                <w:rFonts w:hint="default" w:ascii="Times New Roman" w:hAnsi="Times New Roman" w:eastAsia="方正仿宋_GBK" w:cs="Times New Roman"/>
                <w:i w:val="0"/>
                <w:iCs w:val="0"/>
                <w:lang w:val="en-US" w:eastAsia="zh-CN" w:bidi="ar"/>
              </w:rPr>
            </w:pPr>
          </w:p>
        </w:tc>
        <w:tc>
          <w:tcPr>
            <w:tcW w:w="11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其他政策文件</w:t>
            </w:r>
          </w:p>
        </w:tc>
        <w:tc>
          <w:tcPr>
            <w:tcW w:w="21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除行政规范性文件以外的其他主动公开的文件及解读</w:t>
            </w:r>
          </w:p>
        </w:tc>
        <w:tc>
          <w:tcPr>
            <w:tcW w:w="20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《中华人民共和国政府信息公开条例》（国务院令第711号）第二十条</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政府网站</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自该政府信息形成或者变更之日起20个工作日内</w:t>
            </w:r>
          </w:p>
        </w:tc>
        <w:tc>
          <w:tcPr>
            <w:tcW w:w="12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eastAsia" w:eastAsia="方正仿宋_GBK" w:cs="Times New Roman"/>
                <w:b w:val="0"/>
                <w:bCs w:val="0"/>
                <w:i w:val="0"/>
                <w:iCs w:val="0"/>
                <w:color w:val="000000"/>
                <w:u w:val="none"/>
                <w:lang w:val="en-US" w:eastAsia="zh-CN" w:bidi="ar"/>
              </w:rPr>
              <w:t>办公室</w:t>
            </w:r>
          </w:p>
        </w:tc>
        <w:tc>
          <w:tcPr>
            <w:tcW w:w="27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val="0"/>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color w:val="auto"/>
                <w:lang w:val="en-US" w:eastAsia="zh-CN" w:bidi="ar"/>
              </w:rPr>
            </w:pPr>
            <w:r>
              <w:rPr>
                <w:rStyle w:val="7"/>
                <w:rFonts w:hint="default" w:ascii="Times New Roman" w:hAnsi="Times New Roman" w:eastAsia="方正仿宋_GBK" w:cs="Times New Roman"/>
                <w:i w:val="0"/>
                <w:iCs w:val="0"/>
                <w:color w:val="auto"/>
                <w:lang w:val="en-US" w:eastAsia="zh-CN" w:bidi="ar"/>
              </w:rPr>
              <w:t>http://www.yuanling.gov.cn/yuanling/c118817/list2020.shtml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206" w:hRule="atLeast"/>
        </w:trPr>
        <w:tc>
          <w:tcPr>
            <w:tcW w:w="458"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107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机构概况</w:t>
            </w:r>
          </w:p>
        </w:tc>
        <w:tc>
          <w:tcPr>
            <w:tcW w:w="11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领导信息</w:t>
            </w:r>
          </w:p>
        </w:tc>
        <w:tc>
          <w:tcPr>
            <w:tcW w:w="21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单位负责人姓名、职务、主管或分管工作等</w:t>
            </w:r>
          </w:p>
        </w:tc>
        <w:tc>
          <w:tcPr>
            <w:tcW w:w="20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《中华人民共和国政府信息公开条例》（国务院令第711号）第二十条</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政府网站</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自该政府信息形成或者变更之日起20个工作日内</w:t>
            </w:r>
          </w:p>
        </w:tc>
        <w:tc>
          <w:tcPr>
            <w:tcW w:w="12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eastAsia" w:eastAsia="方正仿宋_GBK" w:cs="Times New Roman"/>
                <w:b w:val="0"/>
                <w:bCs w:val="0"/>
                <w:i w:val="0"/>
                <w:iCs w:val="0"/>
                <w:color w:val="000000"/>
                <w:u w:val="none"/>
                <w:lang w:val="en-US" w:eastAsia="zh-CN" w:bidi="ar"/>
              </w:rPr>
              <w:t>办公室</w:t>
            </w:r>
          </w:p>
        </w:tc>
        <w:tc>
          <w:tcPr>
            <w:tcW w:w="27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val="0"/>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color w:val="auto"/>
                <w:lang w:val="en-US" w:eastAsia="zh-CN" w:bidi="ar"/>
              </w:rPr>
            </w:pPr>
            <w:r>
              <w:rPr>
                <w:rStyle w:val="7"/>
                <w:rFonts w:hint="default" w:ascii="Times New Roman" w:hAnsi="Times New Roman" w:eastAsia="方正仿宋_GBK" w:cs="Times New Roman"/>
                <w:i w:val="0"/>
                <w:iCs w:val="0"/>
                <w:color w:val="auto"/>
                <w:lang w:val="en-US" w:eastAsia="zh-CN" w:bidi="ar"/>
              </w:rPr>
              <w:t>http://www.yuanling.gov.cn/yuanling/c118816/bmxz_jgzn.shtml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630" w:hRule="atLeast"/>
        </w:trPr>
        <w:tc>
          <w:tcPr>
            <w:tcW w:w="45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iCs w:val="0"/>
                <w:color w:val="000000"/>
                <w:sz w:val="20"/>
                <w:szCs w:val="20"/>
                <w:u w:val="none"/>
              </w:rPr>
            </w:pPr>
          </w:p>
        </w:tc>
        <w:tc>
          <w:tcPr>
            <w:tcW w:w="1074"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7"/>
                <w:rFonts w:hint="default" w:ascii="Times New Roman" w:hAnsi="Times New Roman" w:eastAsia="方正仿宋_GBK" w:cs="Times New Roman"/>
                <w:i w:val="0"/>
                <w:iCs w:val="0"/>
                <w:lang w:val="en-US" w:eastAsia="zh-CN" w:bidi="ar"/>
              </w:rPr>
            </w:pPr>
          </w:p>
        </w:tc>
        <w:tc>
          <w:tcPr>
            <w:tcW w:w="11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机构信息</w:t>
            </w:r>
          </w:p>
        </w:tc>
        <w:tc>
          <w:tcPr>
            <w:tcW w:w="21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依据三定方案确定的机关职能，以及机构设置、办公地址、办公时间、联系方式等</w:t>
            </w:r>
          </w:p>
        </w:tc>
        <w:tc>
          <w:tcPr>
            <w:tcW w:w="20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《中华人民共和国政府信息公开条例》（国务院令第711号）第二十条</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政府网站</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自该政府信息形成或者变更之日起20个工作日内</w:t>
            </w:r>
          </w:p>
        </w:tc>
        <w:tc>
          <w:tcPr>
            <w:tcW w:w="12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eastAsia" w:eastAsia="方正仿宋_GBK" w:cs="Times New Roman"/>
                <w:b w:val="0"/>
                <w:bCs w:val="0"/>
                <w:i w:val="0"/>
                <w:iCs w:val="0"/>
                <w:color w:val="000000"/>
                <w:u w:val="none"/>
                <w:lang w:val="en-US" w:eastAsia="zh-CN" w:bidi="ar"/>
              </w:rPr>
              <w:t>办公室</w:t>
            </w:r>
          </w:p>
        </w:tc>
        <w:tc>
          <w:tcPr>
            <w:tcW w:w="27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val="0"/>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color w:val="auto"/>
                <w:lang w:val="en-US" w:eastAsia="zh-CN" w:bidi="ar"/>
              </w:rPr>
            </w:pPr>
            <w:r>
              <w:rPr>
                <w:rStyle w:val="7"/>
                <w:rFonts w:hint="default" w:ascii="Times New Roman" w:hAnsi="Times New Roman" w:eastAsia="方正仿宋_GBK" w:cs="Times New Roman"/>
                <w:i w:val="0"/>
                <w:iCs w:val="0"/>
                <w:color w:val="auto"/>
                <w:lang w:val="en-US" w:eastAsia="zh-CN" w:bidi="ar"/>
              </w:rPr>
              <w:t>http://www.yuanling.gov.cn/yuanling/c118816/bmxz_jgzn.shtml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96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10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规划计划</w:t>
            </w:r>
          </w:p>
        </w:tc>
        <w:tc>
          <w:tcPr>
            <w:tcW w:w="11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财政领域规划计划</w:t>
            </w:r>
          </w:p>
        </w:tc>
        <w:tc>
          <w:tcPr>
            <w:tcW w:w="21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涉及财政业务职能的中长期计划、年度工作计划信息、计划执行情况</w:t>
            </w:r>
          </w:p>
        </w:tc>
        <w:tc>
          <w:tcPr>
            <w:tcW w:w="20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《中华人民共和国政府信息公开条例》（国务院令第711号）第二十条</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政府网站</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自该政府信息形成或者变更之日起20个工作日内</w:t>
            </w:r>
          </w:p>
        </w:tc>
        <w:tc>
          <w:tcPr>
            <w:tcW w:w="12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eastAsia" w:eastAsia="方正仿宋_GBK" w:cs="Times New Roman"/>
                <w:b w:val="0"/>
                <w:bCs w:val="0"/>
                <w:i w:val="0"/>
                <w:iCs w:val="0"/>
                <w:color w:val="000000"/>
                <w:u w:val="none"/>
                <w:lang w:val="en-US" w:eastAsia="zh-CN" w:bidi="ar"/>
              </w:rPr>
              <w:t>办公室</w:t>
            </w:r>
          </w:p>
        </w:tc>
        <w:tc>
          <w:tcPr>
            <w:tcW w:w="27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val="0"/>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color w:val="auto"/>
                <w:lang w:val="en-US" w:eastAsia="zh-CN" w:bidi="ar"/>
              </w:rPr>
            </w:pPr>
            <w:r>
              <w:rPr>
                <w:rStyle w:val="7"/>
                <w:rFonts w:hint="default" w:ascii="Times New Roman" w:hAnsi="Times New Roman" w:eastAsia="方正仿宋_GBK" w:cs="Times New Roman"/>
                <w:i w:val="0"/>
                <w:iCs w:val="0"/>
                <w:color w:val="auto"/>
                <w:lang w:val="en-US" w:eastAsia="zh-CN" w:bidi="ar"/>
              </w:rPr>
              <w:t>http://www.yuanling.gov.cn/yuanling/c118820/list2020.shtml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98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10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7"/>
                <w:rFonts w:hint="default" w:ascii="Times New Roman" w:hAnsi="Times New Roman" w:eastAsia="方正仿宋_GBK" w:cs="Times New Roman"/>
                <w:i w:val="0"/>
                <w:iCs w:val="0"/>
                <w:highlight w:val="none"/>
                <w:lang w:val="en-US" w:eastAsia="zh-CN" w:bidi="ar"/>
              </w:rPr>
            </w:pPr>
            <w:r>
              <w:rPr>
                <w:rStyle w:val="7"/>
                <w:rFonts w:hint="default" w:ascii="Times New Roman" w:hAnsi="Times New Roman" w:eastAsia="方正仿宋_GBK" w:cs="Times New Roman"/>
                <w:i w:val="0"/>
                <w:iCs w:val="0"/>
                <w:highlight w:val="none"/>
                <w:lang w:val="en-US" w:eastAsia="zh-CN" w:bidi="ar"/>
              </w:rPr>
              <w:t>政务服务</w:t>
            </w:r>
          </w:p>
        </w:tc>
        <w:tc>
          <w:tcPr>
            <w:tcW w:w="11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highlight w:val="none"/>
                <w:lang w:val="en-US" w:eastAsia="zh-CN" w:bidi="ar"/>
              </w:rPr>
            </w:pPr>
            <w:r>
              <w:rPr>
                <w:rStyle w:val="7"/>
                <w:rFonts w:hint="default" w:ascii="Times New Roman" w:hAnsi="Times New Roman" w:eastAsia="方正仿宋_GBK" w:cs="Times New Roman"/>
                <w:i w:val="0"/>
                <w:iCs w:val="0"/>
                <w:highlight w:val="none"/>
                <w:lang w:val="en-US" w:eastAsia="zh-CN" w:bidi="ar"/>
              </w:rPr>
              <w:t>财政领域政务服务事项信息</w:t>
            </w:r>
          </w:p>
        </w:tc>
        <w:tc>
          <w:tcPr>
            <w:tcW w:w="21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highlight w:val="none"/>
                <w:lang w:val="en-US" w:eastAsia="zh-CN" w:bidi="ar"/>
              </w:rPr>
            </w:pPr>
            <w:r>
              <w:rPr>
                <w:rStyle w:val="7"/>
                <w:rFonts w:hint="default" w:ascii="Times New Roman" w:hAnsi="Times New Roman" w:eastAsia="方正仿宋_GBK" w:cs="Times New Roman"/>
                <w:i w:val="0"/>
                <w:iCs w:val="0"/>
                <w:highlight w:val="none"/>
                <w:lang w:val="en-US" w:eastAsia="zh-CN" w:bidi="ar"/>
              </w:rPr>
              <w:t>财政领域办理行政许可和其他对外管理服务事项目录，行使事项的依据、条件、程序以及办理结果</w:t>
            </w:r>
          </w:p>
        </w:tc>
        <w:tc>
          <w:tcPr>
            <w:tcW w:w="20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highlight w:val="none"/>
                <w:lang w:val="en-US" w:eastAsia="zh-CN" w:bidi="ar"/>
              </w:rPr>
            </w:pPr>
            <w:r>
              <w:rPr>
                <w:rStyle w:val="7"/>
                <w:rFonts w:hint="default" w:ascii="Times New Roman" w:hAnsi="Times New Roman" w:eastAsia="方正仿宋_GBK" w:cs="Times New Roman"/>
                <w:i w:val="0"/>
                <w:iCs w:val="0"/>
                <w:highlight w:val="none"/>
                <w:lang w:val="en-US" w:eastAsia="zh-CN" w:bidi="ar"/>
              </w:rPr>
              <w:t>《中华人民共和国行政许可法》第三十条；《中华人民共和国政府信息公开条例》（国务院令第711号）第二十条；《国务院办公厅关于全面实行行政许可事项清单管理的通知》（国办发〔2022〕2号）第（八）条；《国务院关于建立完善守信联合激励和失信联合惩戒制度加快推进社会诚信建设的指导意见》（国发〔2016〕33号）第（十七）条</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highlight w:val="none"/>
                <w:lang w:val="en-US" w:eastAsia="zh-CN" w:bidi="ar"/>
              </w:rPr>
            </w:pPr>
            <w:r>
              <w:rPr>
                <w:rStyle w:val="7"/>
                <w:rFonts w:hint="default" w:ascii="Times New Roman" w:hAnsi="Times New Roman" w:eastAsia="方正仿宋_GBK" w:cs="Times New Roman"/>
                <w:i w:val="0"/>
                <w:iCs w:val="0"/>
                <w:highlight w:val="none"/>
                <w:lang w:val="en-US" w:eastAsia="zh-CN" w:bidi="ar"/>
              </w:rPr>
              <w:t>政府网站</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highlight w:val="none"/>
                <w:lang w:val="en-US" w:eastAsia="zh-CN" w:bidi="ar"/>
              </w:rPr>
            </w:pPr>
            <w:r>
              <w:rPr>
                <w:rStyle w:val="7"/>
                <w:rFonts w:hint="default" w:ascii="Times New Roman" w:hAnsi="Times New Roman" w:eastAsia="方正仿宋_GBK" w:cs="Times New Roman"/>
                <w:i w:val="0"/>
                <w:iCs w:val="0"/>
                <w:highlight w:val="none"/>
                <w:lang w:val="en-US" w:eastAsia="zh-CN" w:bidi="ar"/>
              </w:rPr>
              <w:t>自该政府信息形成或者变更之日起20个工作日内；行政许可自决定之日起7个工作日内</w:t>
            </w:r>
          </w:p>
        </w:tc>
        <w:tc>
          <w:tcPr>
            <w:tcW w:w="12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lang w:val="en-US" w:eastAsia="zh-CN"/>
              </w:rPr>
            </w:pPr>
            <w:r>
              <w:rPr>
                <w:rStyle w:val="7"/>
                <w:rFonts w:hint="eastAsia" w:eastAsia="方正仿宋_GBK" w:cs="Times New Roman"/>
                <w:b w:val="0"/>
                <w:bCs w:val="0"/>
                <w:i w:val="0"/>
                <w:iCs w:val="0"/>
                <w:color w:val="000000"/>
                <w:highlight w:val="none"/>
                <w:u w:val="none"/>
                <w:lang w:val="en-US" w:eastAsia="zh-CN" w:bidi="ar"/>
              </w:rPr>
              <w:t>会计股、税政法规股</w:t>
            </w:r>
          </w:p>
        </w:tc>
        <w:tc>
          <w:tcPr>
            <w:tcW w:w="27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val="0"/>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color w:val="auto"/>
                <w:highlight w:val="yellow"/>
                <w:lang w:val="en-US" w:eastAsia="zh-CN" w:bidi="ar"/>
              </w:rPr>
            </w:pPr>
            <w:r>
              <w:rPr>
                <w:rStyle w:val="7"/>
                <w:rFonts w:hint="default" w:ascii="Times New Roman" w:hAnsi="Times New Roman" w:eastAsia="方正仿宋_GBK" w:cs="Times New Roman"/>
                <w:i w:val="0"/>
                <w:iCs w:val="0"/>
                <w:color w:val="auto"/>
                <w:highlight w:val="none"/>
                <w:lang w:val="en-US" w:eastAsia="zh-CN" w:bidi="ar"/>
              </w:rPr>
              <w:t>http://www.yuanling.gov.cn/yuanling/c118817/list2020.shtml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956"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w:t>
            </w:r>
          </w:p>
        </w:tc>
        <w:tc>
          <w:tcPr>
            <w:tcW w:w="10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行政处罚</w:t>
            </w:r>
          </w:p>
        </w:tc>
        <w:tc>
          <w:tcPr>
            <w:tcW w:w="11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财政领域行政处罚信息</w:t>
            </w:r>
          </w:p>
        </w:tc>
        <w:tc>
          <w:tcPr>
            <w:tcW w:w="21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财政领域实施行政处罚的依据、条件、程序以及本行政机关认为具有一定社会影响的行政处罚决定</w:t>
            </w:r>
          </w:p>
        </w:tc>
        <w:tc>
          <w:tcPr>
            <w:tcW w:w="20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《中华人民共和国行政处罚法》第五条</w:t>
            </w:r>
            <w:r>
              <w:rPr>
                <w:rFonts w:hint="default" w:ascii="Times New Roman" w:hAnsi="Times New Roman" w:eastAsia="方正仿宋_GBK" w:cs="Times New Roman"/>
                <w:snapToGrid w:val="0"/>
                <w:kern w:val="21"/>
                <w:sz w:val="20"/>
                <w:szCs w:val="20"/>
                <w:lang w:val="en-US" w:eastAsia="zh-CN"/>
              </w:rPr>
              <w:t>、第四十八条</w:t>
            </w:r>
            <w:r>
              <w:rPr>
                <w:rStyle w:val="7"/>
                <w:rFonts w:hint="default" w:ascii="Times New Roman" w:hAnsi="Times New Roman" w:eastAsia="方正仿宋_GBK" w:cs="Times New Roman"/>
                <w:i w:val="0"/>
                <w:iCs w:val="0"/>
                <w:lang w:val="en-US" w:eastAsia="zh-CN" w:bidi="ar"/>
              </w:rPr>
              <w:t>；《中华人民共和国政府信息公开条例》（国务院令第711号）第二十条；《国务院关于建立完善守信联合激励和失信联合惩戒制度加快推进社会诚信建设的指导意见》（国发〔2016〕33号）第（十七）条</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政府网站</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自该政府信息形成或者变更之日起20个工作日内；行政处罚自决定之日起7个工作日内</w:t>
            </w:r>
          </w:p>
        </w:tc>
        <w:tc>
          <w:tcPr>
            <w:tcW w:w="12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eastAsia" w:eastAsia="方正仿宋_GBK" w:cs="Times New Roman"/>
                <w:b w:val="0"/>
                <w:bCs w:val="0"/>
                <w:i w:val="0"/>
                <w:iCs w:val="0"/>
                <w:color w:val="000000"/>
                <w:u w:val="none"/>
                <w:lang w:val="en-US" w:eastAsia="zh-CN" w:bidi="ar"/>
              </w:rPr>
              <w:t>税政法规股、采购办、监督股、会计股</w:t>
            </w:r>
          </w:p>
        </w:tc>
        <w:tc>
          <w:tcPr>
            <w:tcW w:w="27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LineNumbers w:val="0"/>
              <w:kinsoku/>
              <w:wordWrap w:val="0"/>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color w:val="auto"/>
                <w:lang w:val="en-US" w:eastAsia="zh-CN" w:bidi="ar"/>
              </w:rPr>
            </w:pPr>
            <w:r>
              <w:rPr>
                <w:rStyle w:val="7"/>
                <w:rFonts w:hint="default" w:ascii="Times New Roman" w:hAnsi="Times New Roman" w:eastAsia="方正仿宋_GBK" w:cs="Times New Roman"/>
                <w:i w:val="0"/>
                <w:iCs w:val="0"/>
                <w:color w:val="auto"/>
                <w:lang w:val="en-US" w:eastAsia="zh-CN" w:bidi="ar"/>
              </w:rPr>
              <w:t>http://www.yuanling.gov.cn/yuanling/c132243/zfxxgkList.shtml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770" w:hRule="atLeast"/>
        </w:trPr>
        <w:tc>
          <w:tcPr>
            <w:tcW w:w="458"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w:t>
            </w:r>
          </w:p>
        </w:tc>
        <w:tc>
          <w:tcPr>
            <w:tcW w:w="107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财政预算、决算</w:t>
            </w:r>
          </w:p>
        </w:tc>
        <w:tc>
          <w:tcPr>
            <w:tcW w:w="11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预算、决算</w:t>
            </w:r>
          </w:p>
        </w:tc>
        <w:tc>
          <w:tcPr>
            <w:tcW w:w="21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部门预算、决算及执行情况</w:t>
            </w:r>
          </w:p>
        </w:tc>
        <w:tc>
          <w:tcPr>
            <w:tcW w:w="20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《中华人民共和国预算法》 第十四条；《中华人民共和国预算法实施条例》第六条；《中华人民共和国政府信息公开条例》（国务院令第711号）第二十条</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政府网站</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Fonts w:hint="default" w:ascii="Times New Roman" w:hAnsi="Times New Roman" w:eastAsia="方正仿宋_GBK" w:cs="Times New Roman"/>
                <w:i w:val="0"/>
                <w:iCs w:val="0"/>
                <w:color w:val="000000"/>
                <w:sz w:val="20"/>
                <w:szCs w:val="20"/>
                <w:u w:val="none"/>
              </w:rPr>
              <w:t>批准（批复）后20日内</w:t>
            </w:r>
          </w:p>
        </w:tc>
        <w:tc>
          <w:tcPr>
            <w:tcW w:w="12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eastAsia" w:eastAsia="方正仿宋_GBK" w:cs="Times New Roman"/>
                <w:b w:val="0"/>
                <w:bCs w:val="0"/>
                <w:i w:val="0"/>
                <w:iCs w:val="0"/>
                <w:color w:val="000000"/>
                <w:u w:val="none"/>
                <w:lang w:val="en-US" w:eastAsia="zh-CN" w:bidi="ar"/>
              </w:rPr>
              <w:t>预算股、国库股</w:t>
            </w:r>
          </w:p>
        </w:tc>
        <w:tc>
          <w:tcPr>
            <w:tcW w:w="27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color w:val="auto"/>
                <w:lang w:val="en-US" w:eastAsia="zh-CN" w:bidi="ar"/>
              </w:rPr>
            </w:pPr>
            <w:r>
              <w:rPr>
                <w:rStyle w:val="7"/>
                <w:rFonts w:hint="default" w:ascii="Times New Roman" w:hAnsi="Times New Roman" w:eastAsia="方正仿宋_GBK" w:cs="Times New Roman"/>
                <w:i w:val="0"/>
                <w:iCs w:val="0"/>
                <w:color w:val="auto"/>
                <w:lang w:val="en-US" w:eastAsia="zh-CN" w:bidi="ar"/>
              </w:rPr>
              <w:t>http://www.yuanling.gov.cn/yuanling/c108874/zfxxgkList.shtml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051" w:hRule="atLeast"/>
        </w:trPr>
        <w:tc>
          <w:tcPr>
            <w:tcW w:w="45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iCs w:val="0"/>
                <w:color w:val="000000"/>
                <w:sz w:val="20"/>
                <w:szCs w:val="20"/>
                <w:u w:val="none"/>
              </w:rPr>
            </w:pPr>
          </w:p>
        </w:tc>
        <w:tc>
          <w:tcPr>
            <w:tcW w:w="1074"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7"/>
                <w:rFonts w:hint="default" w:ascii="Times New Roman" w:hAnsi="Times New Roman" w:eastAsia="方正仿宋_GBK" w:cs="Times New Roman"/>
                <w:i w:val="0"/>
                <w:iCs w:val="0"/>
                <w:lang w:val="en-US" w:eastAsia="zh-CN" w:bidi="ar"/>
              </w:rPr>
            </w:pPr>
          </w:p>
        </w:tc>
        <w:tc>
          <w:tcPr>
            <w:tcW w:w="11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“三公”经费</w:t>
            </w:r>
          </w:p>
        </w:tc>
        <w:tc>
          <w:tcPr>
            <w:tcW w:w="21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“三公”经费财政拨款预算总额和分项数额，对增减变化的原因说明</w:t>
            </w:r>
          </w:p>
        </w:tc>
        <w:tc>
          <w:tcPr>
            <w:tcW w:w="20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《中华人民共和国预算法》 第十四条；《中华人民共和国预算法实施条例》第六条；《中华人民共和国政府信息公开条例》（国务院令第711号）第二十条</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政府网站</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Fonts w:hint="default" w:ascii="Times New Roman" w:hAnsi="Times New Roman" w:eastAsia="方正仿宋_GBK" w:cs="Times New Roman"/>
                <w:i w:val="0"/>
                <w:iCs w:val="0"/>
                <w:color w:val="000000"/>
                <w:sz w:val="20"/>
                <w:szCs w:val="20"/>
                <w:u w:val="none"/>
              </w:rPr>
              <w:t>批准（批复）后20日内</w:t>
            </w:r>
          </w:p>
        </w:tc>
        <w:tc>
          <w:tcPr>
            <w:tcW w:w="12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eastAsia" w:eastAsia="方正仿宋_GBK" w:cs="Times New Roman"/>
                <w:b w:val="0"/>
                <w:bCs w:val="0"/>
                <w:i w:val="0"/>
                <w:iCs w:val="0"/>
                <w:color w:val="000000"/>
                <w:u w:val="none"/>
                <w:lang w:val="en-US" w:eastAsia="zh-CN" w:bidi="ar"/>
              </w:rPr>
              <w:t>行政政法股</w:t>
            </w:r>
          </w:p>
        </w:tc>
        <w:tc>
          <w:tcPr>
            <w:tcW w:w="27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color w:val="auto"/>
                <w:lang w:val="en-US" w:eastAsia="zh-CN" w:bidi="ar"/>
              </w:rPr>
            </w:pPr>
            <w:r>
              <w:rPr>
                <w:rStyle w:val="7"/>
                <w:rFonts w:hint="default" w:ascii="Times New Roman" w:hAnsi="Times New Roman" w:eastAsia="方正仿宋_GBK" w:cs="Times New Roman"/>
                <w:i w:val="0"/>
                <w:iCs w:val="0"/>
                <w:color w:val="auto"/>
                <w:lang w:val="en-US" w:eastAsia="zh-CN" w:bidi="ar"/>
              </w:rPr>
              <w:t>http://www.yuanling.gov.cn/yuanling/c108887/zfxxgkList_jxgl.shtml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36" w:hRule="atLeast"/>
        </w:trPr>
        <w:tc>
          <w:tcPr>
            <w:tcW w:w="45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iCs w:val="0"/>
                <w:color w:val="000000"/>
                <w:sz w:val="20"/>
                <w:szCs w:val="20"/>
                <w:u w:val="none"/>
              </w:rPr>
            </w:pPr>
          </w:p>
        </w:tc>
        <w:tc>
          <w:tcPr>
            <w:tcW w:w="1074"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7"/>
                <w:rFonts w:hint="default" w:ascii="Times New Roman" w:hAnsi="Times New Roman" w:eastAsia="方正仿宋_GBK" w:cs="Times New Roman"/>
                <w:i w:val="0"/>
                <w:iCs w:val="0"/>
                <w:lang w:val="en-US" w:eastAsia="zh-CN" w:bidi="ar"/>
              </w:rPr>
            </w:pPr>
          </w:p>
        </w:tc>
        <w:tc>
          <w:tcPr>
            <w:tcW w:w="11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绩效评价</w:t>
            </w:r>
          </w:p>
        </w:tc>
        <w:tc>
          <w:tcPr>
            <w:tcW w:w="21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按要求将项目支出绩效评价结果编入预算并公开</w:t>
            </w:r>
          </w:p>
        </w:tc>
        <w:tc>
          <w:tcPr>
            <w:tcW w:w="20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《财政部关于印发&lt;项目支出绩效评价管理办法&gt;的通知》（财预〔2020〕10号）第二十八条；《湖南省财政厅关于印发&lt;湖南省预算支出绩效评价管理办法&gt;的通知》（湘财绩〔2020〕7号）第四十二条</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政府网站</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自该政府信息形成或者变更之日起20个工作日内</w:t>
            </w:r>
          </w:p>
        </w:tc>
        <w:tc>
          <w:tcPr>
            <w:tcW w:w="12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eastAsia" w:eastAsia="方正仿宋_GBK" w:cs="Times New Roman"/>
                <w:b w:val="0"/>
                <w:bCs w:val="0"/>
                <w:i w:val="0"/>
                <w:iCs w:val="0"/>
                <w:color w:val="000000"/>
                <w:u w:val="none"/>
                <w:lang w:val="en-US" w:eastAsia="zh-CN" w:bidi="ar"/>
              </w:rPr>
              <w:t>绩效股</w:t>
            </w:r>
          </w:p>
        </w:tc>
        <w:tc>
          <w:tcPr>
            <w:tcW w:w="27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color w:val="auto"/>
                <w:lang w:val="en-US" w:eastAsia="zh-CN" w:bidi="ar"/>
              </w:rPr>
            </w:pPr>
            <w:r>
              <w:rPr>
                <w:rStyle w:val="7"/>
                <w:rFonts w:hint="default" w:ascii="Times New Roman" w:hAnsi="Times New Roman" w:eastAsia="方正仿宋_GBK" w:cs="Times New Roman"/>
                <w:i w:val="0"/>
                <w:iCs w:val="0"/>
                <w:color w:val="auto"/>
                <w:lang w:val="en-US" w:eastAsia="zh-CN" w:bidi="ar"/>
              </w:rPr>
              <w:t>http://www.yuanling.gov.cn/yuanling/c108887/zfxxgkList_jxgl.shtml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411" w:hRule="atLeast"/>
        </w:trPr>
        <w:tc>
          <w:tcPr>
            <w:tcW w:w="4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pacing w:val="-6"/>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10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000000"/>
                <w:spacing w:val="-6"/>
                <w:kern w:val="2"/>
                <w:sz w:val="20"/>
                <w:szCs w:val="20"/>
                <w:u w:val="none"/>
                <w:lang w:val="en-US" w:eastAsia="zh-CN" w:bidi="ar"/>
              </w:rPr>
            </w:pPr>
            <w:r>
              <w:rPr>
                <w:rStyle w:val="7"/>
                <w:rFonts w:hint="default" w:ascii="Times New Roman" w:hAnsi="Times New Roman" w:eastAsia="方正仿宋_GBK" w:cs="Times New Roman"/>
                <w:i w:val="0"/>
                <w:iCs w:val="0"/>
                <w:lang w:val="en-US" w:eastAsia="zh-CN" w:bidi="ar"/>
              </w:rPr>
              <w:t>政府采购</w:t>
            </w:r>
          </w:p>
        </w:tc>
        <w:tc>
          <w:tcPr>
            <w:tcW w:w="11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pacing w:val="-6"/>
                <w:kern w:val="2"/>
                <w:sz w:val="20"/>
                <w:szCs w:val="20"/>
                <w:u w:val="none"/>
                <w:lang w:val="en-US" w:eastAsia="zh-CN" w:bidi="ar"/>
              </w:rPr>
            </w:pPr>
            <w:r>
              <w:rPr>
                <w:rStyle w:val="7"/>
                <w:rFonts w:hint="default" w:ascii="Times New Roman" w:hAnsi="Times New Roman" w:eastAsia="方正仿宋_GBK" w:cs="Times New Roman"/>
                <w:i w:val="0"/>
                <w:iCs w:val="0"/>
                <w:lang w:val="en-US" w:eastAsia="zh-CN" w:bidi="ar"/>
              </w:rPr>
              <w:t>政府集中采购项目的目录、标准</w:t>
            </w:r>
          </w:p>
        </w:tc>
        <w:tc>
          <w:tcPr>
            <w:tcW w:w="21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pacing w:val="-6"/>
                <w:kern w:val="2"/>
                <w:sz w:val="20"/>
                <w:szCs w:val="20"/>
                <w:u w:val="none"/>
                <w:lang w:val="en-US" w:eastAsia="zh-CN" w:bidi="ar"/>
              </w:rPr>
            </w:pPr>
            <w:r>
              <w:rPr>
                <w:rStyle w:val="7"/>
                <w:rFonts w:hint="default" w:ascii="Times New Roman" w:hAnsi="Times New Roman" w:eastAsia="方正仿宋_GBK" w:cs="Times New Roman"/>
                <w:i w:val="0"/>
                <w:iCs w:val="0"/>
                <w:lang w:val="en-US" w:eastAsia="zh-CN" w:bidi="ar"/>
              </w:rPr>
              <w:t>政府集中采购项目的目录、标准</w:t>
            </w:r>
          </w:p>
        </w:tc>
        <w:tc>
          <w:tcPr>
            <w:tcW w:w="203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pacing w:val="-6"/>
                <w:kern w:val="2"/>
                <w:sz w:val="20"/>
                <w:szCs w:val="20"/>
                <w:u w:val="none"/>
                <w:lang w:val="en-US" w:eastAsia="zh-CN" w:bidi="ar"/>
              </w:rPr>
            </w:pPr>
            <w:r>
              <w:rPr>
                <w:rStyle w:val="7"/>
                <w:rFonts w:hint="default" w:ascii="Times New Roman" w:hAnsi="Times New Roman" w:eastAsia="方正仿宋_GBK" w:cs="Times New Roman"/>
                <w:i w:val="0"/>
                <w:iCs w:val="0"/>
                <w:lang w:val="en-US" w:eastAsia="zh-CN" w:bidi="ar"/>
              </w:rPr>
              <w:t>《中华人民共和国政府采购法》第六十三条；《中华人民共和国政府信息公开条例》（国务院令第711号）第二十条</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pacing w:val="-6"/>
                <w:kern w:val="2"/>
                <w:sz w:val="20"/>
                <w:szCs w:val="20"/>
                <w:u w:val="none"/>
                <w:lang w:val="en-US" w:eastAsia="zh-CN" w:bidi="ar"/>
              </w:rPr>
            </w:pPr>
            <w:r>
              <w:rPr>
                <w:rStyle w:val="7"/>
                <w:rFonts w:hint="default" w:ascii="Times New Roman" w:hAnsi="Times New Roman" w:eastAsia="方正仿宋_GBK" w:cs="Times New Roman"/>
                <w:i w:val="0"/>
                <w:iCs w:val="0"/>
                <w:lang w:val="en-US" w:eastAsia="zh-CN" w:bidi="ar"/>
              </w:rPr>
              <w:t>政府网站</w:t>
            </w:r>
          </w:p>
        </w:tc>
        <w:tc>
          <w:tcPr>
            <w:tcW w:w="25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pacing w:val="-6"/>
                <w:kern w:val="2"/>
                <w:sz w:val="20"/>
                <w:szCs w:val="20"/>
                <w:u w:val="none"/>
                <w:lang w:val="en-US" w:eastAsia="zh-CN" w:bidi="ar"/>
              </w:rPr>
            </w:pPr>
            <w:r>
              <w:rPr>
                <w:rStyle w:val="7"/>
                <w:rFonts w:hint="default" w:ascii="Times New Roman" w:hAnsi="Times New Roman" w:eastAsia="方正仿宋_GBK" w:cs="Times New Roman"/>
                <w:i w:val="0"/>
                <w:iCs w:val="0"/>
                <w:lang w:val="en-US" w:eastAsia="zh-CN" w:bidi="ar"/>
              </w:rPr>
              <w:t>自该政府信息形成或者变更之日起20个工作日内</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pacing w:val="-6"/>
                <w:kern w:val="2"/>
                <w:sz w:val="20"/>
                <w:szCs w:val="20"/>
                <w:u w:val="none"/>
                <w:lang w:val="en-US" w:eastAsia="zh-CN" w:bidi="ar"/>
              </w:rPr>
            </w:pPr>
            <w:r>
              <w:rPr>
                <w:rStyle w:val="7"/>
                <w:rFonts w:hint="default" w:ascii="Times New Roman" w:hAnsi="Times New Roman" w:eastAsia="方正仿宋_GBK" w:cs="Times New Roman"/>
                <w:b w:val="0"/>
                <w:bCs w:val="0"/>
                <w:i w:val="0"/>
                <w:iCs w:val="0"/>
                <w:color w:val="000000"/>
                <w:u w:val="none"/>
                <w:lang w:val="en-US" w:eastAsia="zh-CN" w:bidi="ar"/>
              </w:rPr>
              <w:t>政府采购监管部门</w:t>
            </w:r>
          </w:p>
        </w:tc>
        <w:tc>
          <w:tcPr>
            <w:tcW w:w="27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auto"/>
                <w:spacing w:val="-6"/>
                <w:kern w:val="2"/>
                <w:sz w:val="20"/>
                <w:szCs w:val="20"/>
                <w:u w:val="none"/>
                <w:lang w:val="en-US" w:eastAsia="zh-CN" w:bidi="ar"/>
              </w:rPr>
            </w:pPr>
            <w:r>
              <w:rPr>
                <w:rFonts w:hint="default" w:ascii="Times New Roman" w:hAnsi="Times New Roman" w:eastAsia="方正仿宋_GBK" w:cs="Times New Roman"/>
                <w:i w:val="0"/>
                <w:iCs w:val="0"/>
                <w:color w:val="auto"/>
                <w:sz w:val="20"/>
                <w:szCs w:val="20"/>
                <w:u w:val="none"/>
              </w:rPr>
              <w:t>http://www.yuanling.gov.cn/yuanling/c109038/zfxxgkMultiList.shtml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411" w:hRule="atLeast"/>
        </w:trPr>
        <w:tc>
          <w:tcPr>
            <w:tcW w:w="4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iCs w:val="0"/>
                <w:color w:val="000000"/>
                <w:spacing w:val="-6"/>
                <w:kern w:val="2"/>
                <w:sz w:val="20"/>
                <w:szCs w:val="20"/>
                <w:u w:val="none"/>
                <w:lang w:val="en-US" w:eastAsia="zh-CN" w:bidi="ar-SA"/>
              </w:rPr>
            </w:pPr>
          </w:p>
        </w:tc>
        <w:tc>
          <w:tcPr>
            <w:tcW w:w="10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000000"/>
                <w:spacing w:val="-6"/>
                <w:kern w:val="2"/>
                <w:sz w:val="20"/>
                <w:szCs w:val="20"/>
                <w:u w:val="none"/>
                <w:lang w:val="en-US" w:eastAsia="zh-CN" w:bidi="ar"/>
              </w:rPr>
            </w:pPr>
          </w:p>
        </w:tc>
        <w:tc>
          <w:tcPr>
            <w:tcW w:w="11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pacing w:val="-6"/>
                <w:kern w:val="2"/>
                <w:sz w:val="20"/>
                <w:szCs w:val="20"/>
                <w:u w:val="none"/>
                <w:lang w:val="en-US" w:eastAsia="zh-CN" w:bidi="ar"/>
              </w:rPr>
            </w:pPr>
            <w:r>
              <w:rPr>
                <w:rStyle w:val="7"/>
                <w:rFonts w:hint="default" w:ascii="Times New Roman" w:hAnsi="Times New Roman" w:eastAsia="方正仿宋_GBK" w:cs="Times New Roman"/>
                <w:i w:val="0"/>
                <w:iCs w:val="0"/>
                <w:lang w:val="en-US" w:eastAsia="zh-CN" w:bidi="ar"/>
              </w:rPr>
              <w:t>政府集中采购项目的实施情况</w:t>
            </w:r>
          </w:p>
        </w:tc>
        <w:tc>
          <w:tcPr>
            <w:tcW w:w="21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pacing w:val="-6"/>
                <w:kern w:val="2"/>
                <w:sz w:val="20"/>
                <w:szCs w:val="20"/>
                <w:u w:val="none"/>
                <w:lang w:val="en-US" w:eastAsia="zh-CN" w:bidi="ar"/>
              </w:rPr>
            </w:pPr>
            <w:r>
              <w:rPr>
                <w:rStyle w:val="7"/>
                <w:rFonts w:hint="default" w:ascii="Times New Roman" w:hAnsi="Times New Roman" w:eastAsia="方正仿宋_GBK" w:cs="Times New Roman"/>
                <w:i w:val="0"/>
                <w:iCs w:val="0"/>
                <w:lang w:val="en-US" w:eastAsia="zh-CN" w:bidi="ar"/>
              </w:rPr>
              <w:t>包括采购项目公告、采购文件、采购项目预算金额、采购结果、采购合同等信息</w:t>
            </w:r>
          </w:p>
        </w:tc>
        <w:tc>
          <w:tcPr>
            <w:tcW w:w="203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方正仿宋_GBK" w:cs="Times New Roman"/>
                <w:i w:val="0"/>
                <w:iCs w:val="0"/>
                <w:color w:val="000000"/>
                <w:spacing w:val="-6"/>
                <w:kern w:val="2"/>
                <w:sz w:val="20"/>
                <w:szCs w:val="20"/>
                <w:u w:val="none"/>
                <w:lang w:val="en-US" w:eastAsia="zh-CN" w:bidi="ar"/>
              </w:rPr>
            </w:pPr>
            <w:r>
              <w:rPr>
                <w:rStyle w:val="7"/>
                <w:rFonts w:hint="default" w:ascii="Times New Roman" w:hAnsi="Times New Roman" w:eastAsia="方正仿宋_GBK" w:cs="Times New Roman"/>
                <w:i w:val="0"/>
                <w:iCs w:val="0"/>
                <w:lang w:val="en-US" w:eastAsia="zh-CN" w:bidi="ar"/>
              </w:rPr>
              <w:t>《中华人民共和国政府采购法》第六十三条；《中华人民共和国预算法》第十四条；《中华人民共和国政府信息公开条例》（国务院令第711号）第二十条；《国务院办公厅关于推进公共资源配置领域政府信息公开的意见》（国办发〔2017〕97号）第二部分第（一）条第4点</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pacing w:val="-6"/>
                <w:kern w:val="2"/>
                <w:sz w:val="20"/>
                <w:szCs w:val="20"/>
                <w:u w:val="none"/>
                <w:lang w:val="en-US" w:eastAsia="zh-CN" w:bidi="ar"/>
              </w:rPr>
            </w:pPr>
            <w:r>
              <w:rPr>
                <w:rStyle w:val="7"/>
                <w:rFonts w:hint="default" w:ascii="Times New Roman" w:hAnsi="Times New Roman" w:eastAsia="方正仿宋_GBK" w:cs="Times New Roman"/>
                <w:i w:val="0"/>
                <w:iCs w:val="0"/>
                <w:lang w:val="en-US" w:eastAsia="zh-CN" w:bidi="ar"/>
              </w:rPr>
              <w:t>政府网站</w:t>
            </w:r>
          </w:p>
        </w:tc>
        <w:tc>
          <w:tcPr>
            <w:tcW w:w="25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pacing w:val="-6"/>
                <w:kern w:val="2"/>
                <w:sz w:val="20"/>
                <w:szCs w:val="20"/>
                <w:u w:val="none"/>
                <w:lang w:val="en-US" w:eastAsia="zh-CN" w:bidi="ar"/>
              </w:rPr>
            </w:pPr>
            <w:r>
              <w:rPr>
                <w:rStyle w:val="7"/>
                <w:rFonts w:hint="default" w:ascii="Times New Roman" w:hAnsi="Times New Roman" w:eastAsia="方正仿宋_GBK" w:cs="Times New Roman"/>
                <w:i w:val="0"/>
                <w:iCs w:val="0"/>
                <w:lang w:val="en-US" w:eastAsia="zh-CN" w:bidi="ar"/>
              </w:rPr>
              <w:t>自该政府信息形成或者变更之日起20个工作日内</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pacing w:val="-6"/>
                <w:kern w:val="2"/>
                <w:sz w:val="20"/>
                <w:szCs w:val="20"/>
                <w:u w:val="none"/>
                <w:lang w:val="en-US" w:eastAsia="zh-CN" w:bidi="ar"/>
              </w:rPr>
            </w:pPr>
            <w:r>
              <w:rPr>
                <w:rStyle w:val="7"/>
                <w:rFonts w:hint="default" w:ascii="Times New Roman" w:hAnsi="Times New Roman" w:eastAsia="方正仿宋_GBK" w:cs="Times New Roman"/>
                <w:b w:val="0"/>
                <w:bCs w:val="0"/>
                <w:i w:val="0"/>
                <w:iCs w:val="0"/>
                <w:color w:val="000000"/>
                <w:u w:val="none"/>
                <w:lang w:val="en-US" w:eastAsia="zh-CN" w:bidi="ar"/>
              </w:rPr>
              <w:t>政府采购实施部门</w:t>
            </w:r>
          </w:p>
        </w:tc>
        <w:tc>
          <w:tcPr>
            <w:tcW w:w="27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auto"/>
                <w:spacing w:val="-6"/>
                <w:kern w:val="2"/>
                <w:sz w:val="20"/>
                <w:szCs w:val="20"/>
                <w:u w:val="none"/>
                <w:lang w:val="en-US" w:eastAsia="zh-CN" w:bidi="ar"/>
              </w:rPr>
            </w:pPr>
            <w:r>
              <w:rPr>
                <w:rFonts w:hint="default" w:ascii="Times New Roman" w:hAnsi="Times New Roman" w:eastAsia="方正仿宋_GBK" w:cs="Times New Roman"/>
                <w:i w:val="0"/>
                <w:iCs w:val="0"/>
                <w:color w:val="auto"/>
                <w:sz w:val="20"/>
                <w:szCs w:val="20"/>
                <w:u w:val="none"/>
              </w:rPr>
              <w:t>http://www.yuanling.gov.cn/yuanling/c109038/zfxxgkMultiList.shtml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411" w:hRule="atLeast"/>
        </w:trPr>
        <w:tc>
          <w:tcPr>
            <w:tcW w:w="4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pacing w:val="-6"/>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9</w:t>
            </w:r>
          </w:p>
        </w:tc>
        <w:tc>
          <w:tcPr>
            <w:tcW w:w="10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000000"/>
                <w:spacing w:val="-6"/>
                <w:kern w:val="2"/>
                <w:sz w:val="20"/>
                <w:szCs w:val="20"/>
                <w:u w:val="none"/>
                <w:lang w:val="en-US" w:eastAsia="zh-CN" w:bidi="ar"/>
              </w:rPr>
            </w:pPr>
            <w:r>
              <w:rPr>
                <w:rStyle w:val="7"/>
                <w:rFonts w:hint="default" w:ascii="Times New Roman" w:hAnsi="Times New Roman" w:eastAsia="方正仿宋_GBK" w:cs="Times New Roman"/>
                <w:i w:val="0"/>
                <w:iCs w:val="0"/>
                <w:lang w:val="en-US" w:eastAsia="zh-CN" w:bidi="ar"/>
              </w:rPr>
              <w:t>重大建设项目</w:t>
            </w:r>
          </w:p>
        </w:tc>
        <w:tc>
          <w:tcPr>
            <w:tcW w:w="11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pacing w:val="-6"/>
                <w:kern w:val="2"/>
                <w:sz w:val="20"/>
                <w:szCs w:val="20"/>
                <w:u w:val="none"/>
                <w:lang w:val="en-US" w:eastAsia="zh-CN" w:bidi="ar"/>
              </w:rPr>
            </w:pPr>
            <w:r>
              <w:rPr>
                <w:rStyle w:val="7"/>
                <w:rFonts w:hint="default" w:ascii="Times New Roman" w:hAnsi="Times New Roman" w:eastAsia="方正仿宋_GBK" w:cs="Times New Roman"/>
                <w:i w:val="0"/>
                <w:iCs w:val="0"/>
                <w:lang w:val="en-US" w:eastAsia="zh-CN" w:bidi="ar"/>
              </w:rPr>
              <w:t>财政领域重大建设项目的批准和实施情况</w:t>
            </w:r>
          </w:p>
        </w:tc>
        <w:tc>
          <w:tcPr>
            <w:tcW w:w="21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pacing w:val="-6"/>
                <w:kern w:val="2"/>
                <w:sz w:val="20"/>
                <w:szCs w:val="20"/>
                <w:u w:val="none"/>
                <w:lang w:val="en-US" w:eastAsia="zh-CN" w:bidi="ar"/>
              </w:rPr>
            </w:pPr>
            <w:r>
              <w:rPr>
                <w:rStyle w:val="7"/>
                <w:rFonts w:hint="default" w:ascii="Times New Roman" w:hAnsi="Times New Roman" w:eastAsia="方正仿宋_GBK" w:cs="Times New Roman"/>
                <w:i w:val="0"/>
                <w:iCs w:val="0"/>
                <w:lang w:val="en-US" w:eastAsia="zh-CN" w:bidi="ar"/>
              </w:rPr>
              <w:t>财政领域重大建设项目名称、审批、核准、备案和批准结果信息，实施过程、结果和社会效果等信息</w:t>
            </w:r>
          </w:p>
        </w:tc>
        <w:tc>
          <w:tcPr>
            <w:tcW w:w="203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pacing w:val="-6"/>
                <w:kern w:val="2"/>
                <w:sz w:val="20"/>
                <w:szCs w:val="20"/>
                <w:u w:val="none"/>
                <w:lang w:val="en-US" w:eastAsia="zh-CN" w:bidi="ar"/>
              </w:rPr>
            </w:pPr>
            <w:r>
              <w:rPr>
                <w:rStyle w:val="7"/>
                <w:rFonts w:hint="default" w:ascii="Times New Roman" w:hAnsi="Times New Roman" w:eastAsia="方正仿宋_GBK" w:cs="Times New Roman"/>
                <w:i w:val="0"/>
                <w:iCs w:val="0"/>
                <w:lang w:val="en-US" w:eastAsia="zh-CN" w:bidi="ar"/>
              </w:rPr>
              <w:t>《中华人民共和国政府信息公开条例》（国务院令第711号）第二十条；《国务院办公厅关于推进重大建设项目批准和实施领域政府信息公开的意见》（国办发〔2017〕94号）</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pacing w:val="-6"/>
                <w:kern w:val="2"/>
                <w:sz w:val="20"/>
                <w:szCs w:val="20"/>
                <w:u w:val="none"/>
                <w:lang w:val="en-US" w:eastAsia="zh-CN" w:bidi="ar"/>
              </w:rPr>
            </w:pPr>
            <w:r>
              <w:rPr>
                <w:rStyle w:val="7"/>
                <w:rFonts w:hint="default" w:ascii="Times New Roman" w:hAnsi="Times New Roman" w:eastAsia="方正仿宋_GBK" w:cs="Times New Roman"/>
                <w:i w:val="0"/>
                <w:iCs w:val="0"/>
                <w:lang w:val="en-US" w:eastAsia="zh-CN" w:bidi="ar"/>
              </w:rPr>
              <w:t>政府网站</w:t>
            </w:r>
          </w:p>
        </w:tc>
        <w:tc>
          <w:tcPr>
            <w:tcW w:w="25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pacing w:val="-6"/>
                <w:kern w:val="2"/>
                <w:sz w:val="20"/>
                <w:szCs w:val="20"/>
                <w:u w:val="none"/>
                <w:lang w:val="en-US" w:eastAsia="zh-CN" w:bidi="ar"/>
              </w:rPr>
            </w:pPr>
            <w:r>
              <w:rPr>
                <w:rStyle w:val="7"/>
                <w:rFonts w:hint="default" w:ascii="Times New Roman" w:hAnsi="Times New Roman" w:eastAsia="方正仿宋_GBK" w:cs="Times New Roman"/>
                <w:i w:val="0"/>
                <w:iCs w:val="0"/>
                <w:lang w:val="en-US" w:eastAsia="zh-CN" w:bidi="ar"/>
              </w:rPr>
              <w:t>自该政府信息形成或者变更之日起20个工作日内</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Times New Roman" w:hAnsi="Times New Roman" w:eastAsia="方正仿宋_GBK" w:cs="Times New Roman"/>
                <w:i w:val="0"/>
                <w:iCs w:val="0"/>
                <w:color w:val="000000"/>
                <w:spacing w:val="-6"/>
                <w:kern w:val="2"/>
                <w:sz w:val="20"/>
                <w:szCs w:val="20"/>
                <w:u w:val="none"/>
                <w:lang w:val="en-US" w:eastAsia="zh-CN" w:bidi="ar"/>
              </w:rPr>
            </w:pPr>
            <w:r>
              <w:rPr>
                <w:rStyle w:val="7"/>
                <w:rFonts w:hint="default" w:ascii="Times New Roman" w:hAnsi="Times New Roman" w:eastAsia="方正仿宋_GBK" w:cs="Times New Roman"/>
                <w:i w:val="0"/>
                <w:iCs w:val="0"/>
                <w:lang w:val="en-US" w:eastAsia="zh-CN" w:bidi="ar"/>
              </w:rPr>
              <w:t>项目管理部门</w:t>
            </w:r>
          </w:p>
        </w:tc>
        <w:tc>
          <w:tcPr>
            <w:tcW w:w="27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auto"/>
                <w:spacing w:val="-6"/>
                <w:kern w:val="2"/>
                <w:sz w:val="20"/>
                <w:szCs w:val="20"/>
                <w:u w:val="none"/>
                <w:lang w:val="en-US" w:eastAsia="zh-CN" w:bidi="ar"/>
              </w:rPr>
            </w:pPr>
            <w:r>
              <w:rPr>
                <w:rFonts w:hint="default" w:ascii="Times New Roman" w:hAnsi="Times New Roman" w:eastAsia="方正仿宋_GBK" w:cs="Times New Roman"/>
                <w:i w:val="0"/>
                <w:iCs w:val="0"/>
                <w:color w:val="auto"/>
                <w:spacing w:val="-6"/>
                <w:kern w:val="2"/>
                <w:sz w:val="20"/>
                <w:szCs w:val="20"/>
                <w:u w:val="none"/>
                <w:lang w:val="en-US" w:eastAsia="zh-CN" w:bidi="ar"/>
              </w:rPr>
              <w:t>https://www.yuanling.gov.cn/yuanling/c138709/zfxxgkList.shtml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411" w:hRule="atLeast"/>
        </w:trPr>
        <w:tc>
          <w:tcPr>
            <w:tcW w:w="4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pacing w:val="-6"/>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0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iCs w:val="0"/>
                <w:color w:val="000000"/>
                <w:spacing w:val="-6"/>
                <w:kern w:val="2"/>
                <w:sz w:val="20"/>
                <w:szCs w:val="20"/>
                <w:u w:val="none"/>
                <w:lang w:val="en-US" w:eastAsia="zh-CN" w:bidi="ar"/>
              </w:rPr>
            </w:pPr>
            <w:r>
              <w:rPr>
                <w:rStyle w:val="7"/>
                <w:rFonts w:hint="default" w:ascii="Times New Roman" w:hAnsi="Times New Roman" w:eastAsia="方正仿宋_GBK" w:cs="Times New Roman"/>
                <w:i w:val="0"/>
                <w:iCs w:val="0"/>
                <w:lang w:val="en-US" w:eastAsia="zh-CN" w:bidi="ar"/>
              </w:rPr>
              <w:t>应急管理</w:t>
            </w:r>
          </w:p>
        </w:tc>
        <w:tc>
          <w:tcPr>
            <w:tcW w:w="11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pacing w:val="-6"/>
                <w:kern w:val="2"/>
                <w:sz w:val="20"/>
                <w:szCs w:val="20"/>
                <w:u w:val="none"/>
                <w:lang w:val="en-US" w:eastAsia="zh-CN" w:bidi="ar"/>
              </w:rPr>
            </w:pPr>
            <w:r>
              <w:rPr>
                <w:rStyle w:val="7"/>
                <w:rFonts w:hint="default" w:ascii="Times New Roman" w:hAnsi="Times New Roman" w:eastAsia="方正仿宋_GBK" w:cs="Times New Roman"/>
                <w:i w:val="0"/>
                <w:iCs w:val="0"/>
                <w:lang w:val="en-US" w:eastAsia="zh-CN" w:bidi="ar"/>
              </w:rPr>
              <w:t>突发公共事件的应急预案、预警信息及应对情况</w:t>
            </w:r>
          </w:p>
        </w:tc>
        <w:tc>
          <w:tcPr>
            <w:tcW w:w="21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pacing w:val="-6"/>
                <w:kern w:val="2"/>
                <w:sz w:val="20"/>
                <w:szCs w:val="20"/>
                <w:u w:val="none"/>
                <w:lang w:val="en-US" w:eastAsia="zh-CN" w:bidi="ar"/>
              </w:rPr>
            </w:pPr>
            <w:r>
              <w:rPr>
                <w:rStyle w:val="7"/>
                <w:rFonts w:hint="default" w:ascii="Times New Roman" w:hAnsi="Times New Roman" w:eastAsia="方正仿宋_GBK" w:cs="Times New Roman"/>
                <w:i w:val="0"/>
                <w:iCs w:val="0"/>
                <w:lang w:val="en-US" w:eastAsia="zh-CN" w:bidi="ar"/>
              </w:rPr>
              <w:t>财政领域突发公共事件应急预案，发布的预警信息和事件应对情况</w:t>
            </w:r>
          </w:p>
        </w:tc>
        <w:tc>
          <w:tcPr>
            <w:tcW w:w="203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pacing w:val="-6"/>
                <w:kern w:val="2"/>
                <w:sz w:val="20"/>
                <w:szCs w:val="20"/>
                <w:u w:val="none"/>
                <w:lang w:val="en-US" w:eastAsia="zh-CN" w:bidi="ar"/>
              </w:rPr>
            </w:pPr>
            <w:r>
              <w:rPr>
                <w:rStyle w:val="7"/>
                <w:rFonts w:hint="default" w:ascii="Times New Roman" w:hAnsi="Times New Roman" w:eastAsia="方正仿宋_GBK" w:cs="Times New Roman"/>
                <w:i w:val="0"/>
                <w:iCs w:val="0"/>
                <w:lang w:val="en-US" w:eastAsia="zh-CN" w:bidi="ar"/>
              </w:rPr>
              <w:t>《中华人民共和国政府信息公开条例》（国务院令第711号）第二十条；《国务院办公厅关于印发&lt;突发事件应急预案管理办法&gt;的通知》（国办发〔2024〕5号）第二十八条</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pacing w:val="-6"/>
                <w:kern w:val="2"/>
                <w:sz w:val="20"/>
                <w:szCs w:val="20"/>
                <w:u w:val="none"/>
                <w:lang w:val="en-US" w:eastAsia="zh-CN" w:bidi="ar"/>
              </w:rPr>
            </w:pPr>
            <w:r>
              <w:rPr>
                <w:rStyle w:val="7"/>
                <w:rFonts w:hint="default" w:ascii="Times New Roman" w:hAnsi="Times New Roman" w:eastAsia="方正仿宋_GBK" w:cs="Times New Roman"/>
                <w:i w:val="0"/>
                <w:iCs w:val="0"/>
                <w:lang w:val="en-US" w:eastAsia="zh-CN" w:bidi="ar"/>
              </w:rPr>
              <w:t>政府网站</w:t>
            </w:r>
          </w:p>
        </w:tc>
        <w:tc>
          <w:tcPr>
            <w:tcW w:w="25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Times New Roman" w:hAnsi="Times New Roman" w:eastAsia="方正仿宋_GBK" w:cs="Times New Roman"/>
                <w:i w:val="0"/>
                <w:iCs w:val="0"/>
                <w:color w:val="000000"/>
                <w:spacing w:val="-6"/>
                <w:kern w:val="2"/>
                <w:sz w:val="20"/>
                <w:szCs w:val="20"/>
                <w:u w:val="none"/>
                <w:lang w:val="en-US" w:eastAsia="zh-CN" w:bidi="ar"/>
              </w:rPr>
            </w:pPr>
            <w:r>
              <w:rPr>
                <w:rStyle w:val="7"/>
                <w:rFonts w:hint="default" w:ascii="Times New Roman" w:hAnsi="Times New Roman" w:eastAsia="方正仿宋_GBK" w:cs="Times New Roman"/>
                <w:i w:val="0"/>
                <w:iCs w:val="0"/>
                <w:lang w:val="en-US" w:eastAsia="zh-CN" w:bidi="ar"/>
              </w:rPr>
              <w:t>自该政府信息形成或者变更之日起20个工作日内</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Times New Roman" w:hAnsi="Times New Roman" w:eastAsia="方正仿宋_GBK" w:cs="Times New Roman"/>
                <w:i w:val="0"/>
                <w:iCs w:val="0"/>
                <w:color w:val="000000"/>
                <w:spacing w:val="-6"/>
                <w:kern w:val="2"/>
                <w:sz w:val="20"/>
                <w:szCs w:val="20"/>
                <w:u w:val="none"/>
                <w:lang w:val="en-US" w:eastAsia="zh-CN" w:bidi="ar"/>
              </w:rPr>
            </w:pPr>
            <w:r>
              <w:rPr>
                <w:rStyle w:val="7"/>
                <w:rFonts w:hint="default" w:ascii="Times New Roman" w:hAnsi="Times New Roman" w:eastAsia="方正仿宋_GBK" w:cs="Times New Roman"/>
                <w:b w:val="0"/>
                <w:bCs w:val="0"/>
                <w:i w:val="0"/>
                <w:iCs w:val="0"/>
                <w:color w:val="000000"/>
                <w:u w:val="none"/>
                <w:lang w:val="en-US" w:eastAsia="zh-CN" w:bidi="ar"/>
              </w:rPr>
              <w:t>相关部门</w:t>
            </w:r>
          </w:p>
        </w:tc>
        <w:tc>
          <w:tcPr>
            <w:tcW w:w="27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i w:val="0"/>
                <w:iCs w:val="0"/>
                <w:color w:val="auto"/>
                <w:spacing w:val="-6"/>
                <w:kern w:val="2"/>
                <w:sz w:val="20"/>
                <w:szCs w:val="20"/>
                <w:u w:val="none"/>
                <w:lang w:val="en-US" w:eastAsia="zh-CN" w:bidi="ar"/>
              </w:rPr>
            </w:pPr>
            <w:r>
              <w:rPr>
                <w:rFonts w:hint="default" w:ascii="Times New Roman" w:hAnsi="Times New Roman" w:eastAsia="方正仿宋_GBK" w:cs="Times New Roman"/>
                <w:i w:val="0"/>
                <w:iCs w:val="0"/>
                <w:color w:val="auto"/>
                <w:sz w:val="20"/>
                <w:szCs w:val="20"/>
                <w:u w:val="none"/>
              </w:rPr>
              <w:t>http://www.yuanling.gov.cn/yuanling/c108888/zfxxgkMultiList.shtml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33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w:t>
            </w:r>
          </w:p>
        </w:tc>
        <w:tc>
          <w:tcPr>
            <w:tcW w:w="10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建议提案</w:t>
            </w:r>
          </w:p>
        </w:tc>
        <w:tc>
          <w:tcPr>
            <w:tcW w:w="11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人大代表建议和政协提案办理</w:t>
            </w:r>
          </w:p>
        </w:tc>
        <w:tc>
          <w:tcPr>
            <w:tcW w:w="21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对涉及公共利益、公众权益、社会关切及需要社会广泛知晓的省人大代表建议、省政协提案及其答复意见经审查可以公开的</w:t>
            </w:r>
          </w:p>
        </w:tc>
        <w:tc>
          <w:tcPr>
            <w:tcW w:w="20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中华人民共和国全国人民代表大会和地方各级人民代表大会代表法》第五十一条；《中国人民政治协商会议全国委员会提案工作条例》第二十三条；《湖南省人民政府办公厅关于印发〈省人大代表建议和省政协提案办理工作规定〉的通知》（湘政办发〔2017〕41号）第十三条</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政府网站</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Fonts w:hint="default" w:ascii="Times New Roman" w:hAnsi="Times New Roman" w:eastAsia="方正仿宋_GBK" w:cs="Times New Roman"/>
                <w:snapToGrid w:val="0"/>
                <w:kern w:val="21"/>
                <w:sz w:val="20"/>
                <w:szCs w:val="20"/>
                <w:lang w:val="en-US" w:eastAsia="zh-CN"/>
              </w:rPr>
              <w:t>自该政府信息形成或者变更之日起20个工作日内；省人大代表建议和省政协提案在答复代表和提案者后一个月内开</w:t>
            </w:r>
          </w:p>
        </w:tc>
        <w:tc>
          <w:tcPr>
            <w:tcW w:w="12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eastAsia" w:eastAsia="方正仿宋_GBK" w:cs="Times New Roman"/>
                <w:i w:val="0"/>
                <w:iCs w:val="0"/>
                <w:lang w:val="en-US" w:eastAsia="zh-CN" w:bidi="ar"/>
              </w:rPr>
              <w:t>办公室</w:t>
            </w:r>
          </w:p>
        </w:tc>
        <w:tc>
          <w:tcPr>
            <w:tcW w:w="27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color w:val="auto"/>
                <w:lang w:val="en-US" w:eastAsia="zh-CN" w:bidi="ar"/>
              </w:rPr>
            </w:pPr>
            <w:r>
              <w:rPr>
                <w:rStyle w:val="7"/>
                <w:rFonts w:hint="default" w:ascii="Times New Roman" w:hAnsi="Times New Roman" w:eastAsia="方正仿宋_GBK" w:cs="Times New Roman"/>
                <w:i w:val="0"/>
                <w:iCs w:val="0"/>
                <w:color w:val="auto"/>
                <w:lang w:val="en-US" w:eastAsia="zh-CN" w:bidi="ar"/>
              </w:rPr>
              <w:t>https://www.yuanling.gov.cn/yuanling/c138710/zfxxgkList.shtml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2375" w:hRule="atLeast"/>
        </w:trPr>
        <w:tc>
          <w:tcPr>
            <w:tcW w:w="458"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color w:val="000000"/>
                <w:kern w:val="0"/>
                <w:sz w:val="20"/>
                <w:szCs w:val="20"/>
                <w:u w:val="none"/>
                <w:lang w:val="en-US" w:eastAsia="zh-CN" w:bidi="ar"/>
              </w:rPr>
              <w:t>13</w:t>
            </w:r>
          </w:p>
        </w:tc>
        <w:tc>
          <w:tcPr>
            <w:tcW w:w="1074"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法治政府建设年度报告</w:t>
            </w:r>
          </w:p>
        </w:tc>
        <w:tc>
          <w:tcPr>
            <w:tcW w:w="1142"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法治政府建设年度报告</w:t>
            </w:r>
          </w:p>
        </w:tc>
        <w:tc>
          <w:tcPr>
            <w:tcW w:w="2169"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上一年度推进法治政府建设的主要举措和成效、存在的不足和原因，党政主要负责人履行推进法治建设第一责任人职责，加强法治政府建设的有关情况；下一年度推进法治政府建设的主要安排；其他需要报告的情况</w:t>
            </w:r>
          </w:p>
        </w:tc>
        <w:tc>
          <w:tcPr>
            <w:tcW w:w="2031"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中共中央办公厅 国务院办公厅印发《法治政府建设与责任落实督察工作规定》第二十四条</w:t>
            </w:r>
          </w:p>
        </w:tc>
        <w:tc>
          <w:tcPr>
            <w:tcW w:w="750"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政府网站</w:t>
            </w:r>
          </w:p>
        </w:tc>
        <w:tc>
          <w:tcPr>
            <w:tcW w:w="2527"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每年4月1日之前</w:t>
            </w:r>
          </w:p>
        </w:tc>
        <w:tc>
          <w:tcPr>
            <w:tcW w:w="1246"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eastAsia" w:eastAsia="方正仿宋_GBK" w:cs="Times New Roman"/>
                <w:b w:val="0"/>
                <w:bCs w:val="0"/>
                <w:i w:val="0"/>
                <w:iCs w:val="0"/>
                <w:color w:val="000000"/>
                <w:u w:val="none"/>
                <w:lang w:val="en-US" w:eastAsia="zh-CN" w:bidi="ar"/>
              </w:rPr>
              <w:t>税政法规股</w:t>
            </w:r>
          </w:p>
        </w:tc>
        <w:tc>
          <w:tcPr>
            <w:tcW w:w="2726"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color w:val="auto"/>
                <w:lang w:val="en-US" w:eastAsia="zh-CN" w:bidi="ar"/>
              </w:rPr>
            </w:pPr>
            <w:r>
              <w:rPr>
                <w:rStyle w:val="7"/>
                <w:rFonts w:hint="default" w:ascii="Times New Roman" w:hAnsi="Times New Roman" w:eastAsia="方正仿宋_GBK" w:cs="Times New Roman"/>
                <w:i w:val="0"/>
                <w:iCs w:val="0"/>
                <w:color w:val="auto"/>
                <w:lang w:val="en-US" w:eastAsia="zh-CN" w:bidi="ar"/>
              </w:rPr>
              <w:t>http://www.yuanling.gov.cn/yuanling/c118817/list2020.shtml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2160" w:hRule="atLeast"/>
        </w:trPr>
        <w:tc>
          <w:tcPr>
            <w:tcW w:w="458" w:type="dxa"/>
            <w:vMerge w:val="restart"/>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r>
              <w:rPr>
                <w:rFonts w:hint="eastAsia" w:eastAsia="宋体" w:cs="Times New Roman"/>
                <w:i w:val="0"/>
                <w:iCs w:val="0"/>
                <w:color w:val="000000"/>
                <w:kern w:val="0"/>
                <w:sz w:val="20"/>
                <w:szCs w:val="20"/>
                <w:u w:val="none"/>
                <w:lang w:val="en-US" w:eastAsia="zh-CN" w:bidi="ar"/>
              </w:rPr>
              <w:t>4</w:t>
            </w:r>
          </w:p>
        </w:tc>
        <w:tc>
          <w:tcPr>
            <w:tcW w:w="1074" w:type="dxa"/>
            <w:vMerge w:val="restart"/>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政府信息公开</w:t>
            </w:r>
          </w:p>
        </w:tc>
        <w:tc>
          <w:tcPr>
            <w:tcW w:w="11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政府信息公开指南</w:t>
            </w:r>
          </w:p>
        </w:tc>
        <w:tc>
          <w:tcPr>
            <w:tcW w:w="21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政府信息主动公开、依申请公开有关情况，不予公开的内容，政府信息公开工作机构的名称、办公地址、办公时间、联系电话、传真号码、互联网联系方式等</w:t>
            </w:r>
          </w:p>
        </w:tc>
        <w:tc>
          <w:tcPr>
            <w:tcW w:w="20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《中华人民共和国政府信息公开条例》（国务院令第711号）第十二条</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政府网站</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自该政府信息形成或者变更之日起20个工作日内</w:t>
            </w:r>
          </w:p>
        </w:tc>
        <w:tc>
          <w:tcPr>
            <w:tcW w:w="12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eastAsia" w:eastAsia="方正仿宋_GBK" w:cs="Times New Roman"/>
                <w:i w:val="0"/>
                <w:iCs w:val="0"/>
                <w:lang w:val="en-US" w:eastAsia="zh-CN" w:bidi="ar"/>
              </w:rPr>
              <w:t>办公室</w:t>
            </w:r>
          </w:p>
        </w:tc>
        <w:tc>
          <w:tcPr>
            <w:tcW w:w="27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color w:val="auto"/>
                <w:lang w:val="en-US" w:eastAsia="zh-CN" w:bidi="ar"/>
              </w:rPr>
            </w:pPr>
            <w:r>
              <w:rPr>
                <w:rStyle w:val="7"/>
                <w:rFonts w:hint="default" w:ascii="Times New Roman" w:hAnsi="Times New Roman" w:eastAsia="方正仿宋_GBK" w:cs="Times New Roman"/>
                <w:i w:val="0"/>
                <w:iCs w:val="0"/>
                <w:color w:val="auto"/>
                <w:lang w:val="en-US" w:eastAsia="zh-CN" w:bidi="ar"/>
              </w:rPr>
              <w:t>http://www.yuanling.gov.cn/yuanling/c118821/singleArticle2020.shtml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744" w:hRule="atLeast"/>
        </w:trPr>
        <w:tc>
          <w:tcPr>
            <w:tcW w:w="458" w:type="dxa"/>
            <w:vMerge w:val="continue"/>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iCs w:val="0"/>
                <w:color w:val="000000"/>
                <w:sz w:val="20"/>
                <w:szCs w:val="20"/>
                <w:u w:val="none"/>
              </w:rPr>
            </w:pPr>
          </w:p>
        </w:tc>
        <w:tc>
          <w:tcPr>
            <w:tcW w:w="1074" w:type="dxa"/>
            <w:vMerge w:val="continue"/>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7"/>
                <w:rFonts w:hint="default" w:ascii="Times New Roman" w:hAnsi="Times New Roman" w:eastAsia="方正仿宋_GBK" w:cs="Times New Roman"/>
                <w:i w:val="0"/>
                <w:iCs w:val="0"/>
                <w:lang w:val="en-US" w:eastAsia="zh-CN" w:bidi="ar"/>
              </w:rPr>
            </w:pPr>
          </w:p>
        </w:tc>
        <w:tc>
          <w:tcPr>
            <w:tcW w:w="11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政府信息公开目录</w:t>
            </w:r>
          </w:p>
        </w:tc>
        <w:tc>
          <w:tcPr>
            <w:tcW w:w="21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政府信息主动公开事项目录</w:t>
            </w:r>
          </w:p>
        </w:tc>
        <w:tc>
          <w:tcPr>
            <w:tcW w:w="20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《中华人民共和国政府信息公开条例》（国务院令第711号）第十二条</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政府网站</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自该政府信息形成或者变更之日起20个工作日内</w:t>
            </w:r>
          </w:p>
        </w:tc>
        <w:tc>
          <w:tcPr>
            <w:tcW w:w="12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eastAsia" w:eastAsia="方正仿宋_GBK" w:cs="Times New Roman"/>
                <w:i w:val="0"/>
                <w:iCs w:val="0"/>
                <w:lang w:val="en-US" w:eastAsia="zh-CN" w:bidi="ar"/>
              </w:rPr>
              <w:t>办公室</w:t>
            </w:r>
          </w:p>
        </w:tc>
        <w:tc>
          <w:tcPr>
            <w:tcW w:w="27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color w:val="auto"/>
                <w:lang w:val="en-US" w:eastAsia="zh-CN" w:bidi="ar"/>
              </w:rPr>
            </w:pPr>
            <w:r>
              <w:rPr>
                <w:rStyle w:val="7"/>
                <w:rFonts w:hint="default" w:ascii="Times New Roman" w:hAnsi="Times New Roman" w:eastAsia="方正仿宋_GBK" w:cs="Times New Roman"/>
                <w:i w:val="0"/>
                <w:iCs w:val="0"/>
                <w:color w:val="auto"/>
                <w:lang w:val="en-US" w:eastAsia="zh-CN" w:bidi="ar"/>
              </w:rPr>
              <w:t>https://www.yuanling.gov.cn/yuanling/c138687/fulllist.shtml</w:t>
            </w:r>
            <w:bookmarkStart w:id="0" w:name="_GoBack"/>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744" w:hRule="atLeast"/>
        </w:trPr>
        <w:tc>
          <w:tcPr>
            <w:tcW w:w="458" w:type="dxa"/>
            <w:vMerge w:val="continue"/>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iCs w:val="0"/>
                <w:color w:val="000000"/>
                <w:sz w:val="20"/>
                <w:szCs w:val="20"/>
                <w:u w:val="none"/>
              </w:rPr>
            </w:pPr>
          </w:p>
        </w:tc>
        <w:tc>
          <w:tcPr>
            <w:tcW w:w="1074" w:type="dxa"/>
            <w:vMerge w:val="continue"/>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7"/>
                <w:rFonts w:hint="default" w:ascii="Times New Roman" w:hAnsi="Times New Roman" w:eastAsia="方正仿宋_GBK" w:cs="Times New Roman"/>
                <w:i w:val="0"/>
                <w:iCs w:val="0"/>
                <w:lang w:val="en-US" w:eastAsia="zh-CN" w:bidi="ar"/>
              </w:rPr>
            </w:pPr>
          </w:p>
        </w:tc>
        <w:tc>
          <w:tcPr>
            <w:tcW w:w="11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政府信息公开工作年度报告</w:t>
            </w:r>
          </w:p>
        </w:tc>
        <w:tc>
          <w:tcPr>
            <w:tcW w:w="21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政府信息公开工作年度报告</w:t>
            </w:r>
          </w:p>
        </w:tc>
        <w:tc>
          <w:tcPr>
            <w:tcW w:w="20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《中华人民共和国政府信息公开条例》（国务院令第711号）第四十九条</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政府网站</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每年1月31日前向社会公布</w:t>
            </w:r>
          </w:p>
        </w:tc>
        <w:tc>
          <w:tcPr>
            <w:tcW w:w="12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eastAsia" w:eastAsia="方正仿宋_GBK" w:cs="Times New Roman"/>
                <w:i w:val="0"/>
                <w:iCs w:val="0"/>
                <w:lang w:val="en-US" w:eastAsia="zh-CN" w:bidi="ar"/>
              </w:rPr>
              <w:t>办公室</w:t>
            </w:r>
          </w:p>
        </w:tc>
        <w:tc>
          <w:tcPr>
            <w:tcW w:w="27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color w:val="auto"/>
                <w:lang w:val="en-US" w:eastAsia="zh-CN" w:bidi="ar"/>
              </w:rPr>
            </w:pPr>
            <w:r>
              <w:rPr>
                <w:rStyle w:val="7"/>
                <w:rFonts w:hint="default" w:ascii="Times New Roman" w:hAnsi="Times New Roman" w:eastAsia="方正仿宋_GBK" w:cs="Times New Roman"/>
                <w:i w:val="0"/>
                <w:iCs w:val="0"/>
                <w:color w:val="auto"/>
                <w:lang w:val="en-US" w:eastAsia="zh-CN" w:bidi="ar"/>
              </w:rPr>
              <w:t>http://www.yuanling.gov.cn/yuanling/c118822/list2020.shtml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2640" w:hRule="atLeast"/>
        </w:trPr>
        <w:tc>
          <w:tcPr>
            <w:tcW w:w="458" w:type="dxa"/>
            <w:vMerge w:val="continue"/>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宋体" w:cs="Times New Roman"/>
                <w:i w:val="0"/>
                <w:iCs w:val="0"/>
                <w:color w:val="000000"/>
                <w:sz w:val="20"/>
                <w:szCs w:val="20"/>
                <w:u w:val="none"/>
              </w:rPr>
            </w:pPr>
          </w:p>
        </w:tc>
        <w:tc>
          <w:tcPr>
            <w:tcW w:w="1074" w:type="dxa"/>
            <w:vMerge w:val="continue"/>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7"/>
                <w:rFonts w:hint="default" w:ascii="Times New Roman" w:hAnsi="Times New Roman" w:eastAsia="方正仿宋_GBK" w:cs="Times New Roman"/>
                <w:i w:val="0"/>
                <w:iCs w:val="0"/>
                <w:lang w:val="en-US" w:eastAsia="zh-CN" w:bidi="ar"/>
              </w:rPr>
            </w:pPr>
          </w:p>
        </w:tc>
        <w:tc>
          <w:tcPr>
            <w:tcW w:w="11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政府信息公开工作制度</w:t>
            </w:r>
          </w:p>
        </w:tc>
        <w:tc>
          <w:tcPr>
            <w:tcW w:w="21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包括《中华人民共和国政府信息公开条例》，政府信息公开方面的地方性法规、自治条例、单行条例、规章，以及全国政府信息公开工作主管部门发布的法规解释性文件，原则上不包括其他制度文件</w:t>
            </w:r>
          </w:p>
        </w:tc>
        <w:tc>
          <w:tcPr>
            <w:tcW w:w="20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《国务院办公厅政府信息与政务公开办公室关于规范政府信息公开平台有关事项的通知》（国办公开办函〔2019〕61号）第二部分</w:t>
            </w:r>
          </w:p>
        </w:tc>
        <w:tc>
          <w:tcPr>
            <w:tcW w:w="7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政府网站</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default" w:ascii="Times New Roman" w:hAnsi="Times New Roman" w:eastAsia="方正仿宋_GBK" w:cs="Times New Roman"/>
                <w:i w:val="0"/>
                <w:iCs w:val="0"/>
                <w:lang w:val="en-US" w:eastAsia="zh-CN" w:bidi="ar"/>
              </w:rPr>
              <w:t>自该政府信息形成或者变更之日起20个工作日内</w:t>
            </w:r>
          </w:p>
        </w:tc>
        <w:tc>
          <w:tcPr>
            <w:tcW w:w="12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lang w:val="en-US" w:eastAsia="zh-CN" w:bidi="ar"/>
              </w:rPr>
            </w:pPr>
            <w:r>
              <w:rPr>
                <w:rStyle w:val="7"/>
                <w:rFonts w:hint="eastAsia" w:eastAsia="方正仿宋_GBK" w:cs="Times New Roman"/>
                <w:i w:val="0"/>
                <w:iCs w:val="0"/>
                <w:lang w:val="en-US" w:eastAsia="zh-CN" w:bidi="ar"/>
              </w:rPr>
              <w:t>办公室</w:t>
            </w:r>
          </w:p>
        </w:tc>
        <w:tc>
          <w:tcPr>
            <w:tcW w:w="27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Style w:val="7"/>
                <w:rFonts w:hint="default" w:ascii="Times New Roman" w:hAnsi="Times New Roman" w:eastAsia="方正仿宋_GBK" w:cs="Times New Roman"/>
                <w:i w:val="0"/>
                <w:iCs w:val="0"/>
                <w:color w:val="auto"/>
                <w:lang w:val="en-US" w:eastAsia="zh-CN" w:bidi="ar"/>
              </w:rPr>
            </w:pPr>
            <w:r>
              <w:rPr>
                <w:rFonts w:hint="default" w:ascii="Times New Roman" w:hAnsi="Times New Roman" w:eastAsia="方正仿宋_GBK" w:cs="Times New Roman"/>
                <w:i w:val="0"/>
                <w:iCs w:val="0"/>
                <w:color w:val="auto"/>
                <w:sz w:val="20"/>
                <w:szCs w:val="20"/>
                <w:u w:val="none"/>
              </w:rPr>
              <w:t>http://www.yuanling.gov.cn/yuanling/c119577/zfxxgkList.shtml</w:t>
            </w:r>
          </w:p>
        </w:tc>
      </w:tr>
    </w:tbl>
    <w:p>
      <w:pPr>
        <w:pStyle w:val="2"/>
        <w:keepNext w:val="0"/>
        <w:keepLines w:val="0"/>
        <w:pageBreakBefore w:val="0"/>
        <w:widowControl w:val="0"/>
        <w:kinsoku/>
        <w:wordWrap/>
        <w:overflowPunct w:val="0"/>
        <w:topLinePunct w:val="0"/>
        <w:autoSpaceDE/>
        <w:autoSpaceDN/>
        <w:bidi w:val="0"/>
        <w:adjustRightInd/>
        <w:snapToGrid/>
        <w:spacing w:line="600" w:lineRule="exact"/>
        <w:jc w:val="center"/>
        <w:textAlignment w:val="baseline"/>
        <w:rPr>
          <w:rFonts w:hint="default" w:ascii="Times New Roman" w:hAnsi="Times New Roman" w:eastAsia="方正小标宋_GBK" w:cs="Times New Roman"/>
          <w:b w:val="0"/>
          <w:bCs w:val="0"/>
          <w:kern w:val="2"/>
          <w:sz w:val="36"/>
          <w:szCs w:val="36"/>
          <w:lang w:val="en-US" w:eastAsia="zh-CN" w:bidi="ar-SA"/>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2000000000000000000"/>
    <w:charset w:val="86"/>
    <w:family w:val="script"/>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FF8088"/>
    <w:rsid w:val="1E0F1803"/>
    <w:rsid w:val="2F6D8EC9"/>
    <w:rsid w:val="2FFC83D0"/>
    <w:rsid w:val="3BE5167E"/>
    <w:rsid w:val="432060A5"/>
    <w:rsid w:val="58514D3F"/>
    <w:rsid w:val="6D9EAFD5"/>
    <w:rsid w:val="6FBDED91"/>
    <w:rsid w:val="7BFF8088"/>
    <w:rsid w:val="7EBDA33B"/>
    <w:rsid w:val="CDFF0A6A"/>
    <w:rsid w:val="ECF3B0D6"/>
    <w:rsid w:val="FDF7A266"/>
    <w:rsid w:val="FE7A5A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240" w:lineRule="atLeast"/>
      <w:jc w:val="both"/>
    </w:pPr>
    <w:rPr>
      <w:rFonts w:ascii="Times New Roman" w:hAnsi="Times New Roman" w:eastAsia="仿宋_GB2312" w:cs="Times New Roman"/>
      <w:spacing w:val="-6"/>
      <w:kern w:val="2"/>
      <w:sz w:val="32"/>
      <w:lang w:val="en-US" w:eastAsia="zh-CN" w:bidi="ar-SA"/>
    </w:rPr>
  </w:style>
  <w:style w:type="paragraph" w:styleId="2">
    <w:name w:val="heading 5"/>
    <w:basedOn w:val="1"/>
    <w:next w:val="1"/>
    <w:qFormat/>
    <w:uiPriority w:val="0"/>
    <w:pPr>
      <w:keepNext/>
      <w:keepLines/>
      <w:spacing w:before="280" w:after="290" w:line="374" w:lineRule="auto"/>
      <w:outlineLvl w:val="4"/>
    </w:pPr>
    <w:rPr>
      <w:b/>
      <w:bCs/>
      <w:sz w:val="28"/>
      <w:szCs w:val="28"/>
    </w:rPr>
  </w:style>
  <w:style w:type="character" w:default="1" w:styleId="6">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7">
    <w:name w:val="font61"/>
    <w:basedOn w:val="6"/>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1</TotalTime>
  <ScaleCrop>false</ScaleCrop>
  <LinksUpToDate>false</LinksUpToDate>
  <CharactersWithSpaces>0</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2025-12-23T19:25:00Z</dcterms:created>
  <dc:creator>greatwall</dc:creator>
  <cp:lastModifiedBy>I</cp:lastModifiedBy>
  <dcterms:modified xsi:type="dcterms:W3CDTF">2025-12-25T12:35:44Z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89BE73185291F2FE45BA486932B072D2_41</vt:lpwstr>
  </property>
</Properties>
</file>