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600" w:lineRule="exact"/>
        <w:textAlignment w:val="baseline"/>
        <w:rPr>
          <w:rFonts w:hint="eastAsia" w:ascii="仿宋_GB2312" w:hAnsi="仿宋_GB2312" w:eastAsia="仿宋_GB2312" w:cs="仿宋_GB2312"/>
          <w:sz w:val="44"/>
          <w:szCs w:val="44"/>
          <w:lang w:val="en-US" w:eastAsia="zh-CN"/>
        </w:rPr>
      </w:pPr>
    </w:p>
    <w:p>
      <w:pPr>
        <w:pStyle w:val="2"/>
        <w:keepNext w:val="0"/>
        <w:keepLines w:val="0"/>
        <w:widowControl w:val="0"/>
        <w:overflowPunct w:val="0"/>
        <w:spacing w:line="360" w:lineRule="exact"/>
        <w:jc w:val="center"/>
        <w:rPr>
          <w:rFonts w:hint="default" w:ascii="Times New Roman" w:hAnsi="Times New Roman" w:eastAsia="方正小标宋_GBK" w:cs="Times New Roman"/>
          <w:b w:val="0"/>
          <w:bCs w:val="0"/>
          <w:sz w:val="36"/>
          <w:szCs w:val="36"/>
          <w:lang w:val="en-US" w:eastAsia="zh-CN"/>
        </w:rPr>
      </w:pPr>
      <w:r>
        <w:rPr>
          <w:rFonts w:hint="eastAsia" w:eastAsia="方正小标宋_GBK" w:cs="Times New Roman"/>
          <w:b w:val="0"/>
          <w:bCs w:val="0"/>
          <w:kern w:val="2"/>
          <w:sz w:val="36"/>
          <w:szCs w:val="36"/>
          <w:lang w:val="en-US" w:eastAsia="zh-CN" w:bidi="ar-SA"/>
        </w:rPr>
        <w:t>沅陵县商务局</w:t>
      </w:r>
      <w:r>
        <w:rPr>
          <w:rFonts w:hint="default" w:ascii="Times New Roman" w:hAnsi="Times New Roman" w:eastAsia="方正小标宋_GBK" w:cs="Times New Roman"/>
          <w:b w:val="0"/>
          <w:bCs w:val="0"/>
          <w:sz w:val="36"/>
          <w:szCs w:val="36"/>
          <w:lang w:val="en-US" w:eastAsia="zh-CN"/>
        </w:rPr>
        <w:t>政府信息主动公开事项目录</w:t>
      </w:r>
    </w:p>
    <w:p>
      <w:pPr>
        <w:spacing w:line="360" w:lineRule="exact"/>
        <w:jc w:val="center"/>
        <w:rPr>
          <w:rFonts w:hint="default" w:ascii="Times New Roman" w:hAnsi="Times New Roman" w:eastAsia="楷体" w:cs="Times New Roman"/>
          <w:b/>
          <w:bCs/>
          <w:kern w:val="2"/>
          <w:sz w:val="28"/>
          <w:szCs w:val="28"/>
          <w:lang w:val="en-US" w:eastAsia="zh-CN" w:bidi="ar-SA"/>
        </w:rPr>
      </w:pPr>
      <w:bookmarkStart w:id="0" w:name="_GoBack"/>
      <w:bookmarkEnd w:id="0"/>
      <w:r>
        <w:rPr>
          <w:rFonts w:hint="default" w:ascii="Times New Roman" w:hAnsi="Times New Roman" w:eastAsia="楷体" w:cs="Times New Roman"/>
          <w:b/>
          <w:bCs/>
          <w:kern w:val="2"/>
          <w:sz w:val="28"/>
          <w:szCs w:val="28"/>
          <w:lang w:val="en-US" w:eastAsia="zh-CN" w:bidi="ar-SA"/>
        </w:rPr>
        <w:t>公开主体：</w:t>
      </w:r>
      <w:r>
        <w:rPr>
          <w:rFonts w:hint="eastAsia" w:eastAsia="楷体" w:cs="Times New Roman"/>
          <w:b/>
          <w:bCs/>
          <w:kern w:val="2"/>
          <w:sz w:val="28"/>
          <w:szCs w:val="28"/>
          <w:lang w:val="en-US" w:eastAsia="zh-CN" w:bidi="ar-SA"/>
        </w:rPr>
        <w:t>沅陵县</w:t>
      </w:r>
      <w:r>
        <w:rPr>
          <w:rFonts w:hint="default" w:ascii="Times New Roman" w:hAnsi="Times New Roman" w:eastAsia="楷体" w:cs="Times New Roman"/>
          <w:b/>
          <w:bCs/>
          <w:kern w:val="2"/>
          <w:sz w:val="28"/>
          <w:szCs w:val="28"/>
          <w:lang w:val="en-US" w:eastAsia="zh-CN" w:bidi="ar-SA"/>
        </w:rPr>
        <w:t>商务</w:t>
      </w:r>
      <w:r>
        <w:rPr>
          <w:rFonts w:hint="eastAsia" w:eastAsia="楷体" w:cs="Times New Roman"/>
          <w:b/>
          <w:bCs/>
          <w:kern w:val="2"/>
          <w:sz w:val="28"/>
          <w:szCs w:val="28"/>
          <w:lang w:val="en-US" w:eastAsia="zh-CN" w:bidi="ar-SA"/>
        </w:rPr>
        <w:t>局</w:t>
      </w:r>
    </w:p>
    <w:tbl>
      <w:tblPr>
        <w:tblStyle w:val="6"/>
        <w:tblW w:w="141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8"/>
        <w:gridCol w:w="1278"/>
        <w:gridCol w:w="1224"/>
        <w:gridCol w:w="1767"/>
        <w:gridCol w:w="3344"/>
        <w:gridCol w:w="1223"/>
        <w:gridCol w:w="2040"/>
        <w:gridCol w:w="1514"/>
        <w:gridCol w:w="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52" w:hRule="atLeast"/>
          <w:tblHeader/>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序号</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事项类别</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事项名称</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公开内容</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公开依据</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公开渠道</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公开时限</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公开责任</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sz w:val="21"/>
                <w:szCs w:val="21"/>
                <w:u w:val="none"/>
              </w:rPr>
            </w:pPr>
            <w:r>
              <w:rPr>
                <w:rFonts w:hint="default" w:ascii="Times New Roman" w:hAnsi="Times New Roman" w:eastAsia="黑体" w:cs="Times New Roman"/>
                <w:i w:val="0"/>
                <w:iCs w:val="0"/>
                <w:color w:val="000000"/>
                <w:kern w:val="0"/>
                <w:sz w:val="21"/>
                <w:szCs w:val="21"/>
                <w:u w:val="none"/>
                <w:lang w:val="en-US" w:eastAsia="zh-CN" w:bidi="ar"/>
              </w:rPr>
              <w:t>链接地址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95" w:hRule="atLeast"/>
        </w:trPr>
        <w:tc>
          <w:tcPr>
            <w:tcW w:w="80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1</w:t>
            </w:r>
          </w:p>
        </w:tc>
        <w:tc>
          <w:tcPr>
            <w:tcW w:w="12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政策文件</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行政规范性文件</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行政规范性文件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auto"/>
                <w:sz w:val="20"/>
                <w:szCs w:val="20"/>
                <w:u w:val="none"/>
              </w:rPr>
              <w:t>https://www.yuanling.gov.cn/yuanling/c108858/zfxxgkMultiList.shtml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66" w:hRule="atLeast"/>
        </w:trPr>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等线" w:cs="Times New Roman"/>
                <w:i w:val="0"/>
                <w:iCs w:val="0"/>
                <w:color w:val="000000"/>
                <w:sz w:val="20"/>
                <w:szCs w:val="20"/>
                <w:u w:val="none"/>
              </w:rPr>
            </w:pPr>
          </w:p>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其他政策文件</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除行政规范性文件以外的其他可以公开的文件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https://www.yuanling.gov.cn/yuanling/c119201/list2020.shtml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trPr>
        <w:tc>
          <w:tcPr>
            <w:tcW w:w="80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2</w:t>
            </w:r>
          </w:p>
        </w:tc>
        <w:tc>
          <w:tcPr>
            <w:tcW w:w="12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机构概况</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领导信息</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单位负责人姓名、职务、主管或分管工作等</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https://www.yuanling.gov.cn/yuanling/c119200/bmxz_jgzn.shtml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665" w:hRule="atLeast"/>
        </w:trPr>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等线" w:cs="Times New Roman"/>
                <w:i w:val="0"/>
                <w:iCs w:val="0"/>
                <w:color w:val="000000"/>
                <w:sz w:val="20"/>
                <w:szCs w:val="20"/>
                <w:u w:val="none"/>
              </w:rPr>
            </w:pPr>
          </w:p>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机构信息</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依据三定方案确定的机关职能，以及机构设置、办公地址、办公时间、联系方式等</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https://www.yuanling.gov.cn/yuanling/c119200/bmxz_jgzn.shtml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36" w:hRule="atLeast"/>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3</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规划计划</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商务领域规划计划</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涉及商务业务职能的中长期计划、年度工作计划信息、计划执行情况</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https://www.yuanling.gov.cn/yuanling/c119204/list2020.shtml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623" w:hRule="atLeast"/>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rPr>
            </w:pPr>
            <w:r>
              <w:rPr>
                <w:rFonts w:hint="default" w:ascii="Times New Roman" w:hAnsi="Times New Roman" w:eastAsia="等线" w:cs="Times New Roman"/>
                <w:i w:val="0"/>
                <w:iCs w:val="0"/>
                <w:color w:val="000000"/>
                <w:kern w:val="0"/>
                <w:sz w:val="20"/>
                <w:szCs w:val="20"/>
                <w:u w:val="none"/>
                <w:lang w:val="en-US" w:eastAsia="zh-CN" w:bidi="ar"/>
              </w:rPr>
              <w:t>4</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政务服务</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商务领域政务服务事项信息</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商务领域办理行政许可和其他对外管理服务事项目录，行使事项的依据、条件、程序以及办理结果</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行政许可法》第三十条；《中华人民共和国政府信息公开条例》（国务院令第711号）第二十条；《国务院办公厅关于全面实行行政许可事项清单管理的通知》（国办发〔2022〕2号）第（八）条；《国务院关于建立完善守信联合激励和失信联合惩戒制度加快推进社会诚信建设的指导意见》（国发〔2016〕33号）第（十七）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自该政府信息形成或者变更之日起20个工作日内；行政许可自决定之日起7个工作日内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投资管理和“三外”股</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http://zwfw-new.hunan.gov.cn/onething/service/index.jsp?type=xndtgr&amp;main=1&amp;areacode=431222999000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520" w:hRule="atLeast"/>
        </w:trPr>
        <w:tc>
          <w:tcPr>
            <w:tcW w:w="80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imes New Roman" w:hAnsi="Times New Roman" w:eastAsia="等线" w:cs="Times New Roman"/>
                <w:i w:val="0"/>
                <w:iCs w:val="0"/>
                <w:color w:val="000000"/>
                <w:sz w:val="20"/>
                <w:szCs w:val="20"/>
                <w:u w:val="none"/>
                <w:lang w:val="en-US" w:eastAsia="zh-CN"/>
              </w:rPr>
            </w:pPr>
            <w:r>
              <w:rPr>
                <w:rFonts w:hint="eastAsia" w:eastAsia="等线" w:cs="Times New Roman"/>
                <w:i w:val="0"/>
                <w:iCs w:val="0"/>
                <w:color w:val="000000"/>
                <w:sz w:val="20"/>
                <w:szCs w:val="20"/>
                <w:u w:val="none"/>
                <w:lang w:val="en-US" w:eastAsia="zh-CN"/>
              </w:rPr>
              <w:t>5</w:t>
            </w:r>
          </w:p>
        </w:tc>
        <w:tc>
          <w:tcPr>
            <w:tcW w:w="127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财政预算、决算</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预算、决算</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部门预算、决算及执行情况</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《中华人民共和国预算法》 第十四条；《中华人民共和国预算法实施条例》第六条；《中华人民共和国政府信息公开条例》（国务院令第711号）第二十条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批准（批复）后20日内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财务审计股</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90" w:hRule="atLeast"/>
        </w:trPr>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等线" w:cs="Times New Roman"/>
                <w:i w:val="0"/>
                <w:iCs w:val="0"/>
                <w:color w:val="000000"/>
                <w:sz w:val="20"/>
                <w:szCs w:val="20"/>
                <w:u w:val="none"/>
              </w:rPr>
            </w:pPr>
          </w:p>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“三公”经费</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“三公”经费财政拨款预算总额和分项数额，对增减变化的原因说明</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《中华人民共和国预算法》 第十四条；《中华人民共和国预算法实施条例》第六条；《中华人民共和国政府信息公开条例》（国务院令第711号）第二十条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sz w:val="20"/>
                <w:szCs w:val="20"/>
                <w:u w:val="none"/>
              </w:rPr>
              <w:t>批准（批复）后20日内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highlight w:val="none"/>
                <w:u w:val="none"/>
              </w:rPr>
            </w:pPr>
            <w:r>
              <w:rPr>
                <w:rFonts w:hint="eastAsia" w:eastAsia="方正仿宋_GBK" w:cs="Times New Roman"/>
                <w:i w:val="0"/>
                <w:iCs w:val="0"/>
                <w:color w:val="000000"/>
                <w:sz w:val="20"/>
                <w:szCs w:val="20"/>
                <w:highlight w:val="none"/>
                <w:u w:val="none"/>
                <w:lang w:eastAsia="zh-CN"/>
              </w:rPr>
              <w:t>财务审计股</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84" w:hRule="atLeast"/>
        </w:trPr>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等线" w:cs="Times New Roman"/>
                <w:i w:val="0"/>
                <w:iCs w:val="0"/>
                <w:color w:val="000000"/>
                <w:sz w:val="20"/>
                <w:szCs w:val="20"/>
                <w:u w:val="none"/>
              </w:rPr>
            </w:pPr>
          </w:p>
        </w:tc>
        <w:tc>
          <w:tcPr>
            <w:tcW w:w="127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绩效评价</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按要求将项目支出绩效评价结果编入预算并公开</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《财政部关于印发&lt;项目支出绩效评价管理办法&gt;的通知》（财预〔2020〕10号）第二十八条；《湖南省财政厅关于印发&lt;湖南省预算支出绩效评价管理办法&gt;的通知》（湘财绩〔2020〕7号）第四十二条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财务审计股</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http://www.yuanling.gov.cn/yuanling/c108873/zfxxgkMultiList.shtml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080" w:hRule="atLeast"/>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Times New Roman" w:hAnsi="Times New Roman" w:eastAsia="等线" w:cs="Times New Roman"/>
                <w:i w:val="0"/>
                <w:iCs w:val="0"/>
                <w:color w:val="000000"/>
                <w:sz w:val="20"/>
                <w:szCs w:val="20"/>
                <w:u w:val="none"/>
                <w:lang w:val="en-US" w:eastAsia="zh-CN"/>
              </w:rPr>
            </w:pPr>
            <w:r>
              <w:rPr>
                <w:rFonts w:hint="eastAsia" w:eastAsia="等线" w:cs="Times New Roman"/>
                <w:i w:val="0"/>
                <w:iCs w:val="0"/>
                <w:color w:val="000000"/>
                <w:sz w:val="20"/>
                <w:szCs w:val="20"/>
                <w:u w:val="none"/>
                <w:lang w:val="en-US" w:eastAsia="zh-CN"/>
              </w:rPr>
              <w:t>6</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政府采购</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政府集中采购项目的实施情况</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包括采购项目公告、采购文件、采购项目预算金额、采购结果、采购合同等信息</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采购法》第六十三条；《中华人民共和国预算法》第十四条；《中华人民共和国政府信息公开条例》（国务院令第711号）第二十条；《国务院办公厅关于推进公共资源配置领域政府信息公开的意见》（国办发〔2017〕97号）第二部分第（一）条第4点</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http://www.yuanling.gov.cn/yuanling/c109038/zfxxgkMultiList.shtml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895" w:hRule="atLeast"/>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lang w:val="en-US" w:eastAsia="zh-CN"/>
              </w:rPr>
            </w:pPr>
            <w:r>
              <w:rPr>
                <w:rFonts w:hint="eastAsia" w:eastAsia="等线" w:cs="Times New Roman"/>
                <w:i w:val="0"/>
                <w:iCs w:val="0"/>
                <w:color w:val="000000"/>
                <w:sz w:val="20"/>
                <w:szCs w:val="20"/>
                <w:u w:val="none"/>
                <w:lang w:val="en-US" w:eastAsia="zh-CN"/>
              </w:rPr>
              <w:t>7</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应急管理</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突发公共事件的应急预案、预警信息及应对情况</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商务领域突发公共事件应急预案，发布的预警信息和事件应对情况</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《中华人民共和国政府信息公开条例》（国务院令第711号）第二十条；《国务院办公厅关于印发&lt;突发事件应急预案管理办法&gt;的通知》（国办发〔2024〕5号）第二十八条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商贸流通和市场消费股</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http://www.yuanling.gov.cn/yuanling/c108888/zfxxgkMultiList.shtml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344" w:hRule="atLeast"/>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lang w:val="en-US" w:eastAsia="zh-CN"/>
              </w:rPr>
            </w:pPr>
            <w:r>
              <w:rPr>
                <w:rFonts w:hint="eastAsia" w:eastAsia="等线" w:cs="Times New Roman"/>
                <w:i w:val="0"/>
                <w:iCs w:val="0"/>
                <w:color w:val="000000"/>
                <w:sz w:val="20"/>
                <w:szCs w:val="20"/>
                <w:u w:val="none"/>
                <w:lang w:val="en-US" w:eastAsia="zh-CN"/>
              </w:rPr>
              <w:t>8</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建议提案</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人大代表建议和政协提案办理</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对涉及公共利益、公众权益、社会关切及需要社会广泛知晓的省人大代表建议、省政协提案及其答复意见经审查可以公开的</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全国人民代表大会和地方各级人民代表大会代表法》第五十一条；《中国人民政治协商会议全国委员会提案工作条例》第二十三条；《湖南省人民政府办公厅关于印发〈省人大代表建议和省政协提案办理工作规定〉的通知》（湘政办发〔2017〕41号）第十三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snapToGrid w:val="0"/>
                <w:kern w:val="21"/>
                <w:sz w:val="20"/>
                <w:szCs w:val="20"/>
                <w:lang w:val="en-US" w:eastAsia="zh-CN"/>
              </w:rPr>
              <w:t>自该政府信息形成或者变更之日起20个工作日内；省人大代表建议和省政协提案在答复代表和提案者后一个月内开</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https://www.yuanling.gov.cn/yuanling/c138710/zfxxgkList.shtml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440" w:hRule="atLeast"/>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lang w:val="en-US" w:eastAsia="zh-CN"/>
              </w:rPr>
            </w:pPr>
            <w:r>
              <w:rPr>
                <w:rFonts w:hint="eastAsia" w:eastAsia="等线" w:cs="Times New Roman"/>
                <w:i w:val="0"/>
                <w:iCs w:val="0"/>
                <w:color w:val="000000"/>
                <w:sz w:val="20"/>
                <w:szCs w:val="20"/>
                <w:u w:val="none"/>
                <w:lang w:val="en-US" w:eastAsia="zh-CN"/>
              </w:rPr>
              <w:t>9</w:t>
            </w:r>
          </w:p>
        </w:tc>
        <w:tc>
          <w:tcPr>
            <w:tcW w:w="127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法治政府建设年度报告</w:t>
            </w: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法治政府建设年度报告</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上一年度推进法治政府建设的主要举措和成效、存在的不足和原因，党政主要负责人履行推进法治建设第一责任人职责，加强法治政府建设的有关情况；下一年度推进法治政府建设的主要安排；其他需要报告的情况</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中共中央办公厅 国务院办公厅印发《法治政府建设与责任落实督察工作规定》第二十四条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每年4月1日之前</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https://www.yuanling.gov.cn/yuanling/c119201/list2020.shtml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4284" w:hRule="atLeast"/>
        </w:trPr>
        <w:tc>
          <w:tcPr>
            <w:tcW w:w="80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lang w:val="en-US"/>
              </w:rPr>
            </w:pPr>
            <w:r>
              <w:rPr>
                <w:rFonts w:hint="default" w:ascii="Times New Roman" w:hAnsi="Times New Roman" w:eastAsia="等线" w:cs="Times New Roman"/>
                <w:i w:val="0"/>
                <w:iCs w:val="0"/>
                <w:color w:val="000000"/>
                <w:kern w:val="0"/>
                <w:sz w:val="20"/>
                <w:szCs w:val="20"/>
                <w:u w:val="none"/>
                <w:lang w:val="en-US" w:eastAsia="zh-CN" w:bidi="ar"/>
              </w:rPr>
              <w:t>1</w:t>
            </w:r>
            <w:r>
              <w:rPr>
                <w:rFonts w:hint="eastAsia" w:eastAsia="等线" w:cs="Times New Roman"/>
                <w:i w:val="0"/>
                <w:iCs w:val="0"/>
                <w:color w:val="000000"/>
                <w:kern w:val="0"/>
                <w:sz w:val="20"/>
                <w:szCs w:val="20"/>
                <w:u w:val="none"/>
                <w:lang w:val="en-US" w:eastAsia="zh-CN" w:bidi="ar"/>
              </w:rPr>
              <w:t>0</w:t>
            </w:r>
          </w:p>
        </w:tc>
        <w:tc>
          <w:tcPr>
            <w:tcW w:w="127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业务事项</w:t>
            </w:r>
          </w:p>
        </w:tc>
        <w:tc>
          <w:tcPr>
            <w:tcW w:w="1224"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“两重”“两新”</w:t>
            </w:r>
          </w:p>
        </w:tc>
        <w:tc>
          <w:tcPr>
            <w:tcW w:w="176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大规模设备更新和消费品以旧换新相关信息</w:t>
            </w:r>
          </w:p>
        </w:tc>
        <w:tc>
          <w:tcPr>
            <w:tcW w:w="3344"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《国家发展改革委财政部印发&lt;关于加力支持大规模设备更新和消费品以旧换新的若干措施&gt;的通知》(发改环资〔2024〕1104 号)</w:t>
            </w:r>
          </w:p>
        </w:tc>
        <w:tc>
          <w:tcPr>
            <w:tcW w:w="1223"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kern w:val="0"/>
                <w:sz w:val="20"/>
                <w:szCs w:val="20"/>
                <w:u w:val="none"/>
                <w:lang w:val="en-US" w:eastAsia="zh-CN" w:bidi="ar"/>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 20 个工作日内</w:t>
            </w:r>
          </w:p>
        </w:tc>
        <w:tc>
          <w:tcPr>
            <w:tcW w:w="1514"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highlight w:val="none"/>
                <w:u w:val="none"/>
                <w:lang w:eastAsia="zh-CN"/>
              </w:rPr>
            </w:pPr>
            <w:r>
              <w:rPr>
                <w:rFonts w:hint="eastAsia" w:eastAsia="方正仿宋_GBK" w:cs="Times New Roman"/>
                <w:i w:val="0"/>
                <w:iCs w:val="0"/>
                <w:color w:val="000000"/>
                <w:sz w:val="20"/>
                <w:szCs w:val="20"/>
                <w:highlight w:val="none"/>
                <w:u w:val="none"/>
                <w:lang w:eastAsia="zh-CN"/>
              </w:rPr>
              <w:t>商贸流通和市场消费股</w:t>
            </w:r>
          </w:p>
        </w:tc>
        <w:tc>
          <w:tcPr>
            <w:tcW w:w="969"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https://www.yuanling.gov.cn/yuanling/c137947/list2020.shtml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840" w:hRule="atLeast"/>
        </w:trPr>
        <w:tc>
          <w:tcPr>
            <w:tcW w:w="808" w:type="dxa"/>
            <w:vMerge w:val="restart"/>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等线" w:cs="Times New Roman"/>
                <w:i w:val="0"/>
                <w:iCs w:val="0"/>
                <w:color w:val="000000"/>
                <w:sz w:val="20"/>
                <w:szCs w:val="20"/>
                <w:u w:val="none"/>
                <w:lang w:val="en-US" w:eastAsia="zh-CN"/>
              </w:rPr>
            </w:pPr>
            <w:r>
              <w:rPr>
                <w:rFonts w:hint="eastAsia" w:eastAsia="等线" w:cs="Times New Roman"/>
                <w:i w:val="0"/>
                <w:iCs w:val="0"/>
                <w:color w:val="000000"/>
                <w:sz w:val="20"/>
                <w:szCs w:val="20"/>
                <w:u w:val="none"/>
                <w:lang w:val="en-US" w:eastAsia="zh-CN"/>
              </w:rPr>
              <w:t>11</w:t>
            </w:r>
          </w:p>
        </w:tc>
        <w:tc>
          <w:tcPr>
            <w:tcW w:w="1278" w:type="dxa"/>
            <w:vMerge w:val="restart"/>
            <w:tcBorders>
              <w:top w:val="single" w:color="auto"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w:t>
            </w:r>
          </w:p>
        </w:tc>
        <w:tc>
          <w:tcPr>
            <w:tcW w:w="122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政府信息公开指南</w:t>
            </w:r>
          </w:p>
        </w:tc>
        <w:tc>
          <w:tcPr>
            <w:tcW w:w="1767"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政府信息主动公开、依申请公开有关情况，不予公开的内容，政府信息公开工作机构的名称、办公地址、办公时间、联系电话、传真号码、互联网联系方式等</w:t>
            </w:r>
          </w:p>
        </w:tc>
        <w:tc>
          <w:tcPr>
            <w:tcW w:w="334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《中华人民共和国政府信息公开条例》（国务院令第711号）第十二条</w:t>
            </w:r>
          </w:p>
        </w:tc>
        <w:tc>
          <w:tcPr>
            <w:tcW w:w="1223"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highlight w:val="none"/>
                <w:u w:val="none"/>
              </w:rPr>
            </w:pPr>
            <w:r>
              <w:rPr>
                <w:rFonts w:hint="eastAsia" w:eastAsia="方正仿宋_GBK" w:cs="Times New Roman"/>
                <w:i w:val="0"/>
                <w:iCs w:val="0"/>
                <w:color w:val="000000"/>
                <w:kern w:val="0"/>
                <w:sz w:val="20"/>
                <w:szCs w:val="20"/>
                <w:highlight w:val="none"/>
                <w:u w:val="none"/>
                <w:lang w:val="en-US" w:eastAsia="zh-CN" w:bidi="ar"/>
              </w:rPr>
              <w:t>办公室</w:t>
            </w:r>
          </w:p>
        </w:tc>
        <w:tc>
          <w:tcPr>
            <w:tcW w:w="969"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https://www.yuanling.gov.cn/yuanling/c119205/singleArticle2020.shtml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622" w:hRule="atLeast"/>
        </w:trPr>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等线" w:cs="Times New Roman"/>
                <w:i w:val="0"/>
                <w:iCs w:val="0"/>
                <w:color w:val="000000"/>
                <w:sz w:val="20"/>
                <w:szCs w:val="20"/>
                <w:u w:val="none"/>
              </w:rPr>
            </w:pPr>
          </w:p>
        </w:tc>
        <w:tc>
          <w:tcPr>
            <w:tcW w:w="1278"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政府信息公开目录</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政府信息主动公开事项目录</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《中华人民共和国政府信息公开条例》（国务院令第711号）第十二条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highlight w:val="none"/>
                <w:u w:val="none"/>
              </w:rPr>
            </w:pPr>
            <w:r>
              <w:rPr>
                <w:rFonts w:hint="eastAsia" w:eastAsia="方正仿宋_GBK" w:cs="Times New Roman"/>
                <w:i w:val="0"/>
                <w:iCs w:val="0"/>
                <w:color w:val="000000"/>
                <w:kern w:val="0"/>
                <w:sz w:val="20"/>
                <w:szCs w:val="20"/>
                <w:highlight w:val="none"/>
                <w:u w:val="none"/>
                <w:lang w:val="en-US" w:eastAsia="zh-CN" w:bidi="ar"/>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https://www.yuanling.gov.cn/yuanling/c138687/fulllist.shtml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813" w:hRule="atLeast"/>
        </w:trPr>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等线" w:cs="Times New Roman"/>
                <w:i w:val="0"/>
                <w:iCs w:val="0"/>
                <w:color w:val="000000"/>
                <w:sz w:val="20"/>
                <w:szCs w:val="20"/>
                <w:u w:val="none"/>
              </w:rPr>
            </w:pPr>
          </w:p>
        </w:tc>
        <w:tc>
          <w:tcPr>
            <w:tcW w:w="1278"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政府信息公开工作年度报告</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政府信息公开工作年度报告</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《中华人民共和国政府信息公开条例》（国务院令第711号）第四十九条</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每年1月31日前向社会公布</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highlight w:val="none"/>
                <w:u w:val="none"/>
              </w:rPr>
            </w:pPr>
            <w:r>
              <w:rPr>
                <w:rFonts w:hint="eastAsia" w:eastAsia="方正仿宋_GBK" w:cs="Times New Roman"/>
                <w:i w:val="0"/>
                <w:iCs w:val="0"/>
                <w:color w:val="000000"/>
                <w:kern w:val="0"/>
                <w:sz w:val="20"/>
                <w:szCs w:val="20"/>
                <w:highlight w:val="none"/>
                <w:u w:val="none"/>
                <w:lang w:val="en-US" w:eastAsia="zh-CN" w:bidi="ar"/>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https://www.yuanling.gov.cn/yuanling/c119206/list2020.shtml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813" w:hRule="atLeast"/>
        </w:trPr>
        <w:tc>
          <w:tcPr>
            <w:tcW w:w="80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等线" w:cs="Times New Roman"/>
                <w:i w:val="0"/>
                <w:iCs w:val="0"/>
                <w:color w:val="000000"/>
                <w:sz w:val="20"/>
                <w:szCs w:val="20"/>
                <w:u w:val="none"/>
              </w:rPr>
            </w:pPr>
          </w:p>
        </w:tc>
        <w:tc>
          <w:tcPr>
            <w:tcW w:w="1278"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default" w:ascii="Times New Roman" w:hAnsi="Times New Roman" w:eastAsia="方正仿宋_GBK" w:cs="Times New Roman"/>
                <w:i w:val="0"/>
                <w:iCs w:val="0"/>
                <w:color w:val="000000"/>
                <w:sz w:val="20"/>
                <w:szCs w:val="20"/>
                <w:u w:val="none"/>
              </w:rPr>
            </w:pPr>
          </w:p>
        </w:tc>
        <w:tc>
          <w:tcPr>
            <w:tcW w:w="12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政府信息公开工作制度</w:t>
            </w:r>
          </w:p>
        </w:tc>
        <w:tc>
          <w:tcPr>
            <w:tcW w:w="17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包括《中华人民共和国政府信息公开条例》，政府信息公开方面的地方性法规、自治条例、单行条例、规章，以及全国政府信息公开工作主管部门发布的法规解释性文件，原则上不包括其他制度文件</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《国务院办公厅政府信息与政务公开办公室关于规范政府信息公开平台有关事项的通知》（国办公开办函〔2019〕61号）第二部分</w:t>
            </w:r>
          </w:p>
        </w:tc>
        <w:tc>
          <w:tcPr>
            <w:tcW w:w="122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政府网站</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u w:val="none"/>
              </w:rPr>
            </w:pPr>
            <w:r>
              <w:rPr>
                <w:rFonts w:hint="default" w:ascii="Times New Roman" w:hAnsi="Times New Roman" w:eastAsia="方正仿宋_GBK" w:cs="Times New Roman"/>
                <w:i w:val="0"/>
                <w:iCs w:val="0"/>
                <w:color w:val="000000"/>
                <w:kern w:val="0"/>
                <w:sz w:val="20"/>
                <w:szCs w:val="20"/>
                <w:u w:val="none"/>
                <w:lang w:val="en-US" w:eastAsia="zh-CN" w:bidi="ar"/>
              </w:rPr>
              <w:t>自该政府信息形成或者变更之日起20个工作日内</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z w:val="20"/>
                <w:szCs w:val="20"/>
                <w:highlight w:val="none"/>
                <w:u w:val="none"/>
              </w:rPr>
            </w:pPr>
            <w:r>
              <w:rPr>
                <w:rFonts w:hint="eastAsia" w:eastAsia="方正仿宋_GBK" w:cs="Times New Roman"/>
                <w:i w:val="0"/>
                <w:iCs w:val="0"/>
                <w:color w:val="000000"/>
                <w:kern w:val="0"/>
                <w:sz w:val="20"/>
                <w:szCs w:val="20"/>
                <w:highlight w:val="none"/>
                <w:u w:val="none"/>
                <w:lang w:val="en-US" w:eastAsia="zh-CN" w:bidi="ar"/>
              </w:rPr>
              <w:t>办公室</w:t>
            </w:r>
          </w:p>
        </w:tc>
        <w:tc>
          <w:tcPr>
            <w:tcW w:w="9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sz w:val="20"/>
                <w:szCs w:val="20"/>
                <w:u w:val="none"/>
              </w:rPr>
              <w:t>http://www.yuanling.gov.cn/yuanling/c119577/zfxxgkList.shtml</w:t>
            </w:r>
          </w:p>
        </w:tc>
      </w:tr>
    </w:tbl>
    <w:p>
      <w:pPr>
        <w:pStyle w:val="2"/>
        <w:keepNext w:val="0"/>
        <w:keepLines w:val="0"/>
        <w:pageBreakBefore w:val="0"/>
        <w:widowControl w:val="0"/>
        <w:kinsoku/>
        <w:wordWrap/>
        <w:overflowPunct w:val="0"/>
        <w:topLinePunct w:val="0"/>
        <w:autoSpaceDE/>
        <w:autoSpaceDN/>
        <w:bidi w:val="0"/>
        <w:adjustRightInd/>
        <w:snapToGrid/>
        <w:spacing w:line="600" w:lineRule="exact"/>
        <w:jc w:val="center"/>
        <w:textAlignment w:val="baseline"/>
        <w:rPr>
          <w:rFonts w:hint="default" w:ascii="Times New Roman" w:hAnsi="Times New Roman" w:eastAsia="方正小标宋_GBK" w:cs="Times New Roman"/>
          <w:b w:val="0"/>
          <w:bCs w:val="0"/>
          <w:kern w:val="2"/>
          <w:sz w:val="36"/>
          <w:szCs w:val="36"/>
          <w:lang w:val="en-US" w:eastAsia="zh-CN" w:bidi="ar-SA"/>
        </w:rPr>
        <w:sectPr>
          <w:headerReference r:id="rId3" w:type="default"/>
          <w:footerReference r:id="rId4"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altName w:val="微软雅黑"/>
    <w:panose1 w:val="02010600030101010101"/>
    <w:charset w:val="00"/>
    <w:family w:val="auto"/>
    <w:pitch w:val="default"/>
    <w:sig w:usb0="00000000" w:usb1="00000000" w:usb2="00000016"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X8GgX8EBAABwAwAADgAAAAAAAAABACAAAAAeAQAAZHJzL2Uyb0RvYy54bWxQSwUG&#10;AAAAAAYABgBZAQAAUQ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9734A6"/>
    <w:rsid w:val="093565C8"/>
    <w:rsid w:val="17CA61D3"/>
    <w:rsid w:val="1FA13206"/>
    <w:rsid w:val="21332ABF"/>
    <w:rsid w:val="214C3B07"/>
    <w:rsid w:val="2C237BD6"/>
    <w:rsid w:val="39E73E08"/>
    <w:rsid w:val="3ED71E74"/>
    <w:rsid w:val="59253136"/>
    <w:rsid w:val="59C1183C"/>
    <w:rsid w:val="67820323"/>
    <w:rsid w:val="73FFA184"/>
    <w:rsid w:val="7B702A9E"/>
    <w:rsid w:val="F79734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2">
    <w:name w:val="heading 5"/>
    <w:basedOn w:val="1"/>
    <w:next w:val="1"/>
    <w:qFormat/>
    <w:uiPriority w:val="0"/>
    <w:pPr>
      <w:keepNext/>
      <w:keepLines/>
      <w:spacing w:before="280" w:after="290" w:line="374" w:lineRule="auto"/>
      <w:outlineLvl w:val="4"/>
    </w:pPr>
    <w:rPr>
      <w:b/>
      <w:bCs/>
      <w:sz w:val="28"/>
      <w:szCs w:val="28"/>
    </w:rPr>
  </w:style>
  <w:style w:type="character" w:default="1" w:styleId="8">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font51"/>
    <w:basedOn w:val="8"/>
    <w:qFormat/>
    <w:uiPriority w:val="0"/>
    <w:rPr>
      <w:rFonts w:hint="eastAsia" w:ascii="黑体" w:hAnsi="宋体" w:eastAsia="黑体" w:cs="黑体"/>
      <w:color w:val="000000"/>
      <w:sz w:val="32"/>
      <w:szCs w:val="32"/>
      <w:u w:val="none"/>
    </w:rPr>
  </w:style>
  <w:style w:type="character" w:customStyle="1" w:styleId="10">
    <w:name w:val="font101"/>
    <w:basedOn w:val="8"/>
    <w:qFormat/>
    <w:uiPriority w:val="0"/>
    <w:rPr>
      <w:rFonts w:ascii="Calibri" w:hAnsi="Calibri" w:cs="Calibri"/>
      <w:color w:val="000000"/>
      <w:sz w:val="20"/>
      <w:szCs w:val="20"/>
      <w:u w:val="none"/>
    </w:rPr>
  </w:style>
  <w:style w:type="character" w:customStyle="1" w:styleId="11">
    <w:name w:val="font61"/>
    <w:basedOn w:val="8"/>
    <w:qFormat/>
    <w:uiPriority w:val="0"/>
    <w:rPr>
      <w:rFonts w:hint="default" w:ascii="Times New Roman" w:hAnsi="Times New Roman" w:cs="Times New Roman"/>
      <w:color w:val="000000"/>
      <w:sz w:val="20"/>
      <w:szCs w:val="20"/>
      <w:u w:val="none"/>
    </w:rPr>
  </w:style>
  <w:style w:type="character" w:customStyle="1" w:styleId="12">
    <w:name w:val="font01"/>
    <w:basedOn w:val="8"/>
    <w:qFormat/>
    <w:uiPriority w:val="0"/>
    <w:rPr>
      <w:rFonts w:hint="eastAsia" w:ascii="仿宋" w:hAnsi="仿宋" w:eastAsia="仿宋" w:cs="仿宋"/>
      <w:color w:val="000000"/>
      <w:sz w:val="22"/>
      <w:szCs w:val="22"/>
      <w:u w:val="none"/>
    </w:rPr>
  </w:style>
  <w:style w:type="character" w:customStyle="1" w:styleId="13">
    <w:name w:val="font71"/>
    <w:basedOn w:val="8"/>
    <w:qFormat/>
    <w:uiPriority w:val="0"/>
    <w:rPr>
      <w:rFonts w:hint="default" w:ascii="Times New Roman" w:hAnsi="Times New Roman" w:cs="Times New Roman"/>
      <w:color w:val="000000"/>
      <w:sz w:val="20"/>
      <w:szCs w:val="20"/>
      <w:u w:val="none"/>
    </w:rPr>
  </w:style>
  <w:style w:type="character" w:customStyle="1" w:styleId="14">
    <w:name w:val="font81"/>
    <w:basedOn w:val="8"/>
    <w:qFormat/>
    <w:uiPriority w:val="0"/>
    <w:rPr>
      <w:rFonts w:ascii="Calibri" w:hAnsi="Calibri" w:cs="Calibri"/>
      <w:color w:val="000000"/>
      <w:sz w:val="20"/>
      <w:szCs w:val="20"/>
      <w:u w:val="none"/>
    </w:rPr>
  </w:style>
  <w:style w:type="character" w:customStyle="1" w:styleId="15">
    <w:name w:val="font41"/>
    <w:basedOn w:val="8"/>
    <w:qFormat/>
    <w:uiPriority w:val="0"/>
    <w:rPr>
      <w:rFonts w:hint="default" w:ascii="Times New Roman" w:hAnsi="Times New Roman" w:cs="Times New Roman"/>
      <w:color w:val="000000"/>
      <w:sz w:val="20"/>
      <w:szCs w:val="20"/>
      <w:u w:val="none"/>
    </w:rPr>
  </w:style>
  <w:style w:type="character" w:customStyle="1" w:styleId="16">
    <w:name w:val="font31"/>
    <w:basedOn w:val="8"/>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2025-12-15T14:51:00Z</dcterms:created>
  <dc:creator>kylin</dc:creator>
  <cp:lastModifiedBy>I</cp:lastModifiedBy>
  <cp:lastPrinted>2025-12-24T07:40:00Z</cp:lastPrinted>
  <dcterms:modified xsi:type="dcterms:W3CDTF">2025-12-25T12:32:31Z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876A686554BBCD370DB03F69FAE943BE</vt:lpwstr>
  </property>
</Properties>
</file>