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val="0"/>
        <w:overflowPunct w:val="0"/>
        <w:spacing w:line="360" w:lineRule="exact"/>
        <w:jc w:val="center"/>
        <w:rPr>
          <w:rFonts w:ascii="Times New Roman" w:hAnsi="Times New Roman" w:eastAsia="方正小标宋_GBK" w:cs="Times New Roman"/>
          <w:b w:val="0"/>
          <w:bCs w:val="0"/>
          <w:sz w:val="36"/>
          <w:szCs w:val="36"/>
          <w:lang w:val="en-US" w:eastAsia="zh-CN"/>
        </w:rPr>
      </w:pPr>
      <w:bookmarkStart w:id="0" w:name="_GoBack"/>
      <w:r>
        <w:rPr>
          <w:rFonts w:hint="eastAsia" w:eastAsia="方正小标宋_GBK" w:cs="Times New Roman"/>
          <w:b w:val="0"/>
          <w:bCs w:val="0"/>
          <w:sz w:val="36"/>
          <w:szCs w:val="36"/>
          <w:lang w:val="en-US" w:eastAsia="zh-CN"/>
        </w:rPr>
        <w:t>沅陵县应急管理局</w:t>
      </w:r>
      <w:r>
        <w:rPr>
          <w:rFonts w:ascii="Times New Roman" w:hAnsi="Times New Roman" w:eastAsia="方正小标宋_GBK" w:cs="Times New Roman"/>
          <w:b w:val="0"/>
          <w:bCs w:val="0"/>
          <w:sz w:val="36"/>
          <w:szCs w:val="36"/>
          <w:lang w:val="en-US" w:eastAsia="zh-CN"/>
        </w:rPr>
        <w:t>政府信息主动公开事项目录</w:t>
      </w:r>
    </w:p>
    <w:bookmarkEnd w:id="0"/>
    <w:p>
      <w:pPr>
        <w:spacing w:line="360" w:lineRule="exact"/>
        <w:jc w:val="center"/>
        <w:rPr>
          <w:rFonts w:ascii="Times New Roman" w:hAnsi="Times New Roman" w:eastAsia="楷体" w:cs="Times New Roman"/>
          <w:b/>
          <w:bCs/>
          <w:kern w:val="2"/>
          <w:sz w:val="28"/>
          <w:szCs w:val="28"/>
          <w:lang w:val="en-US" w:eastAsia="zh-CN" w:bidi="ar-SA"/>
        </w:rPr>
      </w:pPr>
      <w:r>
        <w:rPr>
          <w:rFonts w:ascii="Times New Roman" w:hAnsi="Times New Roman" w:eastAsia="楷体" w:cs="Times New Roman"/>
          <w:b/>
          <w:bCs/>
          <w:kern w:val="2"/>
          <w:sz w:val="28"/>
          <w:szCs w:val="28"/>
          <w:lang w:val="en-US" w:eastAsia="zh-CN" w:bidi="ar-SA"/>
        </w:rPr>
        <w:t>公开主体：</w:t>
      </w:r>
      <w:r>
        <w:rPr>
          <w:rFonts w:hint="eastAsia" w:eastAsia="楷体" w:cs="Times New Roman"/>
          <w:b/>
          <w:bCs/>
          <w:kern w:val="2"/>
          <w:sz w:val="28"/>
          <w:szCs w:val="28"/>
          <w:lang w:val="en-US" w:eastAsia="zh-CN" w:bidi="ar-SA"/>
        </w:rPr>
        <w:t>沅陵县应急管理局</w:t>
      </w:r>
    </w:p>
    <w:tbl>
      <w:tblPr>
        <w:tblStyle w:val="8"/>
        <w:tblW w:w="129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4"/>
        <w:gridCol w:w="1171"/>
        <w:gridCol w:w="1146"/>
        <w:gridCol w:w="1618"/>
        <w:gridCol w:w="3063"/>
        <w:gridCol w:w="1120"/>
        <w:gridCol w:w="1868"/>
        <w:gridCol w:w="1094"/>
        <w:gridCol w:w="11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1" w:hRule="atLeast"/>
          <w:tblHeader/>
        </w:trPr>
        <w:tc>
          <w:tcPr>
            <w:tcW w:w="7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黑体" w:cs="Times New Roman"/>
                <w:i w:val="0"/>
                <w:iCs w:val="0"/>
                <w:color w:val="000000"/>
                <w:sz w:val="21"/>
                <w:szCs w:val="21"/>
                <w:u w:val="none"/>
              </w:rPr>
            </w:pPr>
            <w:r>
              <w:rPr>
                <w:rFonts w:ascii="Times New Roman" w:hAnsi="Times New Roman" w:eastAsia="黑体" w:cs="Times New Roman"/>
                <w:i w:val="0"/>
                <w:iCs w:val="0"/>
                <w:color w:val="000000"/>
                <w:kern w:val="0"/>
                <w:sz w:val="21"/>
                <w:szCs w:val="21"/>
                <w:u w:val="none"/>
                <w:lang w:val="en-US" w:eastAsia="zh-CN"/>
              </w:rPr>
              <w:t>序号</w:t>
            </w:r>
          </w:p>
        </w:tc>
        <w:tc>
          <w:tcPr>
            <w:tcW w:w="117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黑体" w:cs="Times New Roman"/>
                <w:i w:val="0"/>
                <w:iCs w:val="0"/>
                <w:color w:val="000000"/>
                <w:sz w:val="21"/>
                <w:szCs w:val="21"/>
                <w:u w:val="none"/>
              </w:rPr>
            </w:pPr>
            <w:r>
              <w:rPr>
                <w:rFonts w:ascii="Times New Roman" w:hAnsi="Times New Roman" w:eastAsia="黑体" w:cs="Times New Roman"/>
                <w:i w:val="0"/>
                <w:iCs w:val="0"/>
                <w:color w:val="000000"/>
                <w:kern w:val="0"/>
                <w:sz w:val="21"/>
                <w:szCs w:val="21"/>
                <w:u w:val="none"/>
                <w:lang w:val="en-US" w:eastAsia="zh-CN"/>
              </w:rPr>
              <w:t>事项类别</w:t>
            </w:r>
          </w:p>
        </w:tc>
        <w:tc>
          <w:tcPr>
            <w:tcW w:w="11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黑体" w:cs="Times New Roman"/>
                <w:i w:val="0"/>
                <w:iCs w:val="0"/>
                <w:color w:val="000000"/>
                <w:sz w:val="21"/>
                <w:szCs w:val="21"/>
                <w:u w:val="none"/>
              </w:rPr>
            </w:pPr>
            <w:r>
              <w:rPr>
                <w:rFonts w:ascii="Times New Roman" w:hAnsi="Times New Roman" w:eastAsia="黑体" w:cs="Times New Roman"/>
                <w:i w:val="0"/>
                <w:iCs w:val="0"/>
                <w:color w:val="000000"/>
                <w:kern w:val="0"/>
                <w:sz w:val="21"/>
                <w:szCs w:val="21"/>
                <w:u w:val="none"/>
                <w:lang w:val="en-US" w:eastAsia="zh-CN"/>
              </w:rPr>
              <w:t>事项名称</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黑体" w:cs="Times New Roman"/>
                <w:i w:val="0"/>
                <w:iCs w:val="0"/>
                <w:color w:val="000000"/>
                <w:sz w:val="21"/>
                <w:szCs w:val="21"/>
                <w:u w:val="none"/>
              </w:rPr>
            </w:pPr>
            <w:r>
              <w:rPr>
                <w:rFonts w:ascii="Times New Roman" w:hAnsi="Times New Roman" w:eastAsia="黑体" w:cs="Times New Roman"/>
                <w:i w:val="0"/>
                <w:iCs w:val="0"/>
                <w:color w:val="000000"/>
                <w:kern w:val="0"/>
                <w:sz w:val="21"/>
                <w:szCs w:val="21"/>
                <w:u w:val="none"/>
                <w:lang w:val="en-US" w:eastAsia="zh-CN"/>
              </w:rPr>
              <w:t>公开内容</w:t>
            </w:r>
          </w:p>
        </w:tc>
        <w:tc>
          <w:tcPr>
            <w:tcW w:w="30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黑体" w:cs="Times New Roman"/>
                <w:i w:val="0"/>
                <w:iCs w:val="0"/>
                <w:color w:val="000000"/>
                <w:sz w:val="21"/>
                <w:szCs w:val="21"/>
                <w:u w:val="none"/>
              </w:rPr>
            </w:pPr>
            <w:r>
              <w:rPr>
                <w:rFonts w:ascii="Times New Roman" w:hAnsi="Times New Roman" w:eastAsia="黑体" w:cs="Times New Roman"/>
                <w:i w:val="0"/>
                <w:iCs w:val="0"/>
                <w:color w:val="000000"/>
                <w:kern w:val="0"/>
                <w:sz w:val="21"/>
                <w:szCs w:val="21"/>
                <w:u w:val="none"/>
                <w:lang w:val="en-US" w:eastAsia="zh-CN"/>
              </w:rPr>
              <w:t>公开依据</w:t>
            </w:r>
          </w:p>
        </w:tc>
        <w:tc>
          <w:tcPr>
            <w:tcW w:w="112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黑体" w:cs="Times New Roman"/>
                <w:i w:val="0"/>
                <w:iCs w:val="0"/>
                <w:color w:val="000000"/>
                <w:sz w:val="21"/>
                <w:szCs w:val="21"/>
                <w:u w:val="none"/>
              </w:rPr>
            </w:pPr>
            <w:r>
              <w:rPr>
                <w:rFonts w:ascii="Times New Roman" w:hAnsi="Times New Roman" w:eastAsia="黑体" w:cs="Times New Roman"/>
                <w:i w:val="0"/>
                <w:iCs w:val="0"/>
                <w:color w:val="000000"/>
                <w:kern w:val="0"/>
                <w:sz w:val="21"/>
                <w:szCs w:val="21"/>
                <w:u w:val="none"/>
                <w:lang w:val="en-US" w:eastAsia="zh-CN"/>
              </w:rPr>
              <w:t>公开渠道</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黑体" w:cs="Times New Roman"/>
                <w:i w:val="0"/>
                <w:iCs w:val="0"/>
                <w:color w:val="000000"/>
                <w:sz w:val="21"/>
                <w:szCs w:val="21"/>
                <w:u w:val="none"/>
              </w:rPr>
            </w:pPr>
            <w:r>
              <w:rPr>
                <w:rFonts w:ascii="Times New Roman" w:hAnsi="Times New Roman" w:eastAsia="黑体" w:cs="Times New Roman"/>
                <w:i w:val="0"/>
                <w:iCs w:val="0"/>
                <w:color w:val="000000"/>
                <w:kern w:val="0"/>
                <w:sz w:val="21"/>
                <w:szCs w:val="21"/>
                <w:u w:val="none"/>
                <w:lang w:val="en-US" w:eastAsia="zh-CN"/>
              </w:rPr>
              <w:t>公开时限</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黑体" w:cs="Times New Roman"/>
                <w:i w:val="0"/>
                <w:iCs w:val="0"/>
                <w:color w:val="000000"/>
                <w:sz w:val="21"/>
                <w:szCs w:val="21"/>
                <w:u w:val="none"/>
              </w:rPr>
            </w:pPr>
            <w:r>
              <w:rPr>
                <w:rFonts w:ascii="Times New Roman" w:hAnsi="Times New Roman" w:eastAsia="黑体" w:cs="Times New Roman"/>
                <w:i w:val="0"/>
                <w:iCs w:val="0"/>
                <w:color w:val="000000"/>
                <w:kern w:val="0"/>
                <w:sz w:val="21"/>
                <w:szCs w:val="21"/>
                <w:u w:val="none"/>
                <w:lang w:val="en-US" w:eastAsia="zh-CN"/>
              </w:rPr>
              <w:t>公开责任</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黑体" w:cs="Times New Roman"/>
                <w:i w:val="0"/>
                <w:iCs w:val="0"/>
                <w:color w:val="auto"/>
                <w:sz w:val="21"/>
                <w:szCs w:val="21"/>
                <w:u w:val="none"/>
              </w:rPr>
            </w:pPr>
            <w:r>
              <w:rPr>
                <w:rFonts w:ascii="Times New Roman" w:hAnsi="Times New Roman" w:eastAsia="黑体" w:cs="Times New Roman"/>
                <w:i w:val="0"/>
                <w:iCs w:val="0"/>
                <w:color w:val="auto"/>
                <w:kern w:val="0"/>
                <w:sz w:val="21"/>
                <w:szCs w:val="21"/>
                <w:u w:val="none"/>
                <w:lang w:val="en-US" w:eastAsia="zh-CN"/>
              </w:rPr>
              <w:t>链接地址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085" w:hRule="atLeast"/>
        </w:trPr>
        <w:tc>
          <w:tcPr>
            <w:tcW w:w="71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宋体" w:cs="Times New Roman"/>
                <w:i w:val="0"/>
                <w:iCs w:val="0"/>
                <w:color w:val="000000"/>
                <w:sz w:val="20"/>
                <w:szCs w:val="20"/>
                <w:u w:val="none"/>
              </w:rPr>
            </w:pPr>
            <w:r>
              <w:rPr>
                <w:rFonts w:ascii="Times New Roman" w:hAnsi="Times New Roman" w:eastAsia="宋体" w:cs="Times New Roman"/>
                <w:i w:val="0"/>
                <w:iCs w:val="0"/>
                <w:color w:val="000000"/>
                <w:kern w:val="0"/>
                <w:sz w:val="20"/>
                <w:szCs w:val="20"/>
                <w:u w:val="none"/>
                <w:lang w:val="en-US" w:eastAsia="zh-CN"/>
              </w:rPr>
              <w:t>1</w:t>
            </w:r>
          </w:p>
        </w:tc>
        <w:tc>
          <w:tcPr>
            <w:tcW w:w="11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政策文件</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行政规范性文件</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行政规范性文件</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《中华人民共和国政府信息公开条例》(国务院令第711号)第二十条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办公室</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https://www.yuanling.gov.cn/yuanling/c108858/zfxxgkMultiList.shtml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055" w:hRule="atLeast"/>
        </w:trPr>
        <w:tc>
          <w:tcPr>
            <w:tcW w:w="714" w:type="dxa"/>
            <w:vMerge w:val="continue"/>
            <w:tcBorders>
              <w:top w:val="single" w:color="000000" w:sz="4" w:space="0"/>
              <w:left w:val="single" w:color="000000" w:sz="4" w:space="0"/>
              <w:bottom w:val="single" w:color="000000" w:sz="4" w:space="0"/>
              <w:right w:val="single" w:color="000000" w:sz="4" w:space="0"/>
            </w:tcBorders>
            <w:vAlign w:val="center"/>
          </w:tcPr>
          <w:p/>
        </w:tc>
        <w:tc>
          <w:tcPr>
            <w:tcW w:w="1171" w:type="dxa"/>
            <w:vMerge w:val="continue"/>
            <w:tcBorders>
              <w:top w:val="single" w:color="000000" w:sz="4" w:space="0"/>
              <w:left w:val="single" w:color="000000" w:sz="4" w:space="0"/>
              <w:bottom w:val="single" w:color="000000" w:sz="4" w:space="0"/>
              <w:right w:val="single" w:color="000000" w:sz="4" w:space="0"/>
            </w:tcBorders>
            <w:vAlign w:val="center"/>
          </w:tcP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其他政策文件</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除行政规范性文件以外的其他可以公开的文件</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《中华人民共和国政府信息公开条例》（国务院令合第711号）第二十条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sz w:val="20"/>
                <w:szCs w:val="20"/>
                <w:u w:val="none"/>
                <w:lang w:val="en-US" w:eastAsia="zh-CN"/>
              </w:rPr>
              <w:t>办公室</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http://www.yuanling.gov.cn/yuanling/c118941/list2020.shtml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130" w:hRule="atLeast"/>
        </w:trPr>
        <w:tc>
          <w:tcPr>
            <w:tcW w:w="71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宋体" w:cs="Times New Roman"/>
                <w:i w:val="0"/>
                <w:iCs w:val="0"/>
                <w:color w:val="000000"/>
                <w:sz w:val="20"/>
                <w:szCs w:val="20"/>
                <w:u w:val="none"/>
              </w:rPr>
            </w:pPr>
            <w:r>
              <w:rPr>
                <w:rFonts w:ascii="Times New Roman" w:hAnsi="Times New Roman" w:eastAsia="宋体" w:cs="Times New Roman"/>
                <w:i w:val="0"/>
                <w:iCs w:val="0"/>
                <w:color w:val="000000"/>
                <w:kern w:val="0"/>
                <w:sz w:val="20"/>
                <w:szCs w:val="20"/>
                <w:u w:val="none"/>
                <w:lang w:val="en-US" w:eastAsia="zh-CN"/>
              </w:rPr>
              <w:t>2</w:t>
            </w:r>
          </w:p>
        </w:tc>
        <w:tc>
          <w:tcPr>
            <w:tcW w:w="11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机构概况</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领导信息</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单位负责人姓名、职务、主管或分管工作等</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《中华人民共和国政府信息公开条例》（国务院令第711号）第二十条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人事股</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http://www.yuanling.gov.cn/yuanling/c118940/bmxz_jgzn.shtml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714" w:type="dxa"/>
            <w:vMerge w:val="continue"/>
            <w:tcBorders>
              <w:top w:val="single" w:color="000000" w:sz="4" w:space="0"/>
              <w:left w:val="single" w:color="000000" w:sz="4" w:space="0"/>
              <w:bottom w:val="single" w:color="000000" w:sz="4" w:space="0"/>
              <w:right w:val="single" w:color="000000" w:sz="4" w:space="0"/>
            </w:tcBorders>
            <w:vAlign w:val="center"/>
          </w:tcPr>
          <w:p/>
        </w:tc>
        <w:tc>
          <w:tcPr>
            <w:tcW w:w="1171" w:type="dxa"/>
            <w:vMerge w:val="continue"/>
            <w:tcBorders>
              <w:top w:val="single" w:color="000000" w:sz="4" w:space="0"/>
              <w:left w:val="single" w:color="000000" w:sz="4" w:space="0"/>
              <w:bottom w:val="single" w:color="000000" w:sz="4" w:space="0"/>
              <w:right w:val="single" w:color="000000" w:sz="4" w:space="0"/>
            </w:tcBorders>
            <w:vAlign w:val="center"/>
          </w:tcP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机构信息</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依据三定方案确定的机关职能，以及机构设置、办公地址、办公时间、联系方式等</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《中华人民共和国政府信息公开条例》（国务院令第711号）第二十条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sz w:val="20"/>
                <w:szCs w:val="20"/>
                <w:u w:val="none"/>
                <w:lang w:eastAsia="zh-CN"/>
              </w:rPr>
              <w:t>人事股</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http://www.yuanling.gov.cn/yuanling/c118940/bmxz_jgzn.shtml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294" w:hRule="atLeast"/>
        </w:trPr>
        <w:tc>
          <w:tcPr>
            <w:tcW w:w="7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宋体" w:cs="Times New Roman"/>
                <w:i w:val="0"/>
                <w:iCs w:val="0"/>
                <w:color w:val="000000"/>
                <w:sz w:val="20"/>
                <w:szCs w:val="20"/>
                <w:u w:val="none"/>
              </w:rPr>
            </w:pPr>
            <w:r>
              <w:rPr>
                <w:rFonts w:ascii="Times New Roman" w:hAnsi="Times New Roman" w:eastAsia="宋体" w:cs="Times New Roman"/>
                <w:i w:val="0"/>
                <w:iCs w:val="0"/>
                <w:color w:val="000000"/>
                <w:kern w:val="0"/>
                <w:sz w:val="20"/>
                <w:szCs w:val="20"/>
                <w:u w:val="none"/>
                <w:lang w:val="en-US" w:eastAsia="zh-CN"/>
              </w:rPr>
              <w:t>3</w:t>
            </w:r>
          </w:p>
        </w:tc>
        <w:tc>
          <w:tcPr>
            <w:tcW w:w="117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规划计划</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方正仿宋_GBK"/>
                <w:color w:val="000000"/>
                <w:kern w:val="0"/>
                <w:sz w:val="20"/>
              </w:rPr>
            </w:pPr>
            <w:r>
              <w:rPr>
                <w:rFonts w:hint="eastAsia" w:eastAsia="方正仿宋_GBK"/>
                <w:color w:val="000000"/>
                <w:kern w:val="0"/>
                <w:sz w:val="20"/>
              </w:rPr>
              <w:t>应急管理领域规划计划</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涉及应急管理业务职能的中长期计划、年度工作计划信息、计划执行情况</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《中华人民共和国政府信息公开条例》（国务院令第711号）第二十条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规划财务股</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http://www.yuanling.gov.cn/yuanling/c118944/list2020.shtml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693" w:hRule="atLeast"/>
        </w:trPr>
        <w:tc>
          <w:tcPr>
            <w:tcW w:w="7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宋体" w:cs="Times New Roman"/>
                <w:i w:val="0"/>
                <w:iCs w:val="0"/>
                <w:color w:val="000000"/>
                <w:sz w:val="20"/>
                <w:szCs w:val="20"/>
                <w:u w:val="none"/>
              </w:rPr>
            </w:pPr>
            <w:r>
              <w:rPr>
                <w:rFonts w:ascii="Times New Roman" w:hAnsi="Times New Roman" w:eastAsia="宋体" w:cs="Times New Roman"/>
                <w:i w:val="0"/>
                <w:iCs w:val="0"/>
                <w:color w:val="000000"/>
                <w:kern w:val="0"/>
                <w:sz w:val="20"/>
                <w:szCs w:val="20"/>
                <w:u w:val="none"/>
                <w:lang w:val="en-US" w:eastAsia="zh-CN"/>
              </w:rPr>
              <w:t>4</w:t>
            </w:r>
          </w:p>
        </w:tc>
        <w:tc>
          <w:tcPr>
            <w:tcW w:w="117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政务服务</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应急管理领域政务服务事项信息</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应急管理领域办理行政许可和其他对外管理服务事项目录，行使事项的依据、条件、程序以及办理结果</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中华人民共和国行政许可法》第三十条：《中华人民共和国政府信息公开条例》（国务院令第711号）第二十条；《国务院办公厅关于全面实行行政许可事项清单管理的通知》(国办发(2022)2号)第（八）条；《国务院关于建立完善守信联合激励和失信联合惩戒制度加快推进社会诚信建设的指导意见》（国发（2016） 33号）第（十七)条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自该政府信息形成或者变更之日起20个工作日内；行政许可自决定之日起 7 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pPr>
            <w:r>
              <w:rPr>
                <w:rFonts w:hint="eastAsia" w:eastAsia="方正仿宋_GBK" w:cs="Times New Roman"/>
                <w:i w:val="0"/>
                <w:iCs w:val="0"/>
                <w:color w:val="000000"/>
                <w:kern w:val="0"/>
                <w:sz w:val="20"/>
                <w:szCs w:val="20"/>
                <w:u w:val="none"/>
                <w:lang w:val="en-US" w:eastAsia="zh-CN"/>
              </w:rPr>
              <w:t>行政审批服务股</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http://zwfw-new.hunan.gov.cn/onething/service/index.jsp?type=xndtgr&amp;main=1&amp;areacode=431222999000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19" w:hRule="atLeast"/>
        </w:trPr>
        <w:tc>
          <w:tcPr>
            <w:tcW w:w="7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宋体" w:cs="Times New Roman"/>
                <w:i w:val="0"/>
                <w:iCs w:val="0"/>
                <w:color w:val="000000"/>
                <w:sz w:val="20"/>
                <w:szCs w:val="20"/>
                <w:u w:val="none"/>
              </w:rPr>
            </w:pPr>
            <w:r>
              <w:rPr>
                <w:rFonts w:ascii="Times New Roman" w:hAnsi="Times New Roman" w:eastAsia="宋体" w:cs="Times New Roman"/>
                <w:i w:val="0"/>
                <w:iCs w:val="0"/>
                <w:color w:val="000000"/>
                <w:kern w:val="0"/>
                <w:sz w:val="20"/>
                <w:szCs w:val="20"/>
                <w:u w:val="none"/>
                <w:lang w:val="en-US" w:eastAsia="zh-CN"/>
              </w:rPr>
              <w:t>5</w:t>
            </w:r>
          </w:p>
        </w:tc>
        <w:tc>
          <w:tcPr>
            <w:tcW w:w="117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行政处罚</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应急管理领域行政处罚信息</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应急管理领域实施行政处罚的依据、条件、程序以及本行政机关认为具有一定社会影响的行政处罚决定</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中华人民共和国行政处罚法》第五条、第四十八条；《中华人民共和国政府信息公开条例》（国务院令第711号)第二十条；《国务院关于建立完善守信联合激励和失信联合惩戒制度加快推进社会诚信建设的指导意见》（国发(2016) 33 号)第（十七）条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自该政府信息形成或者变更之日起20个工作日内；行政处罚自决定之日起 7个工作日内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应急执法中队</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https://www.yuanling.gov.cn/yuanling/c119574/zfxxgkIframeMultiList.shtml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343" w:hRule="atLeast"/>
        </w:trPr>
        <w:tc>
          <w:tcPr>
            <w:tcW w:w="71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宋体" w:cs="Times New Roman"/>
                <w:i w:val="0"/>
                <w:iCs w:val="0"/>
                <w:color w:val="000000"/>
                <w:sz w:val="20"/>
                <w:szCs w:val="20"/>
                <w:u w:val="none"/>
              </w:rPr>
            </w:pPr>
            <w:r>
              <w:rPr>
                <w:rFonts w:ascii="Times New Roman" w:hAnsi="Times New Roman" w:eastAsia="宋体" w:cs="Times New Roman"/>
                <w:i w:val="0"/>
                <w:iCs w:val="0"/>
                <w:color w:val="000000"/>
                <w:kern w:val="0"/>
                <w:sz w:val="20"/>
                <w:szCs w:val="20"/>
                <w:u w:val="none"/>
                <w:lang w:val="en-US" w:eastAsia="zh-CN"/>
              </w:rPr>
              <w:t>6</w:t>
            </w:r>
          </w:p>
        </w:tc>
        <w:tc>
          <w:tcPr>
            <w:tcW w:w="11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财政预算、决算</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方正仿宋_GBK"/>
                <w:color w:val="000000"/>
                <w:kern w:val="0"/>
                <w:sz w:val="20"/>
              </w:rPr>
            </w:pPr>
            <w:r>
              <w:rPr>
                <w:rFonts w:hint="eastAsia" w:eastAsia="方正仿宋_GBK"/>
                <w:color w:val="000000"/>
                <w:kern w:val="0"/>
                <w:sz w:val="20"/>
              </w:rPr>
              <w:t>预算、决算</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部门预算、决算及执行情况</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《中华人民共和国预算法》第十四条；《中华人民共和国预算法实施条例》第大条；《中华人民共和国政府信息公开条例》（国务院令第711号）第二十条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批准（批复）后20日内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sz w:val="20"/>
                <w:szCs w:val="20"/>
                <w:u w:val="none"/>
                <w:lang w:eastAsia="zh-CN"/>
              </w:rPr>
              <w:t>规划财务股</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http://www.yuanling.gov.cn/yuanling/c108873/zfxxgkMultiList.shtml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404" w:hRule="atLeast"/>
        </w:trPr>
        <w:tc>
          <w:tcPr>
            <w:tcW w:w="714" w:type="dxa"/>
            <w:vMerge w:val="continue"/>
            <w:tcBorders>
              <w:top w:val="single" w:color="000000" w:sz="4" w:space="0"/>
              <w:left w:val="single" w:color="000000" w:sz="4" w:space="0"/>
              <w:bottom w:val="single" w:color="000000" w:sz="4" w:space="0"/>
              <w:right w:val="single" w:color="000000" w:sz="4" w:space="0"/>
            </w:tcBorders>
            <w:vAlign w:val="center"/>
          </w:tcPr>
          <w:p/>
        </w:tc>
        <w:tc>
          <w:tcPr>
            <w:tcW w:w="1171" w:type="dxa"/>
            <w:vMerge w:val="continue"/>
            <w:tcBorders>
              <w:top w:val="single" w:color="000000" w:sz="4" w:space="0"/>
              <w:left w:val="single" w:color="000000" w:sz="4" w:space="0"/>
              <w:bottom w:val="single" w:color="000000" w:sz="4" w:space="0"/>
              <w:right w:val="single" w:color="000000" w:sz="4" w:space="0"/>
            </w:tcBorders>
            <w:vAlign w:val="center"/>
          </w:tcPr>
          <w:p/>
        </w:tc>
        <w:tc>
          <w:tcPr>
            <w:tcW w:w="114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方正仿宋_GBK"/>
                <w:color w:val="000000"/>
                <w:kern w:val="0"/>
                <w:sz w:val="20"/>
              </w:rPr>
            </w:pPr>
            <w:r>
              <w:rPr>
                <w:rFonts w:hint="eastAsia" w:eastAsia="方正仿宋_GBK"/>
                <w:color w:val="000000"/>
                <w:kern w:val="0"/>
                <w:sz w:val="20"/>
              </w:rPr>
              <w:t>“三公”经费</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“三公”经费财政拨款预算总额和分项数额，对增减变化的原因说明</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《中华人民共和国预算法》第十四条；《中华人民共和国预算法实施条例》第大条；《中华人民共和国政府信息公开条例》（国务院令第711号）第二十条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批准（批复）后20日内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sz w:val="20"/>
                <w:szCs w:val="20"/>
                <w:u w:val="none"/>
                <w:lang w:eastAsia="zh-CN"/>
              </w:rPr>
              <w:t>规划财务股</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http://www.yuanling.gov.cn/yuanling/c108873/zfxxgkMultiList.shtml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80" w:hRule="atLeast"/>
        </w:trPr>
        <w:tc>
          <w:tcPr>
            <w:tcW w:w="714" w:type="dxa"/>
            <w:vMerge w:val="continue"/>
            <w:tcBorders>
              <w:top w:val="single" w:color="000000" w:sz="4" w:space="0"/>
              <w:left w:val="single" w:color="000000" w:sz="4" w:space="0"/>
              <w:bottom w:val="single" w:color="000000" w:sz="4" w:space="0"/>
              <w:right w:val="single" w:color="000000" w:sz="4" w:space="0"/>
            </w:tcBorders>
            <w:vAlign w:val="center"/>
          </w:tcPr>
          <w:p/>
        </w:tc>
        <w:tc>
          <w:tcPr>
            <w:tcW w:w="1171" w:type="dxa"/>
            <w:vMerge w:val="continue"/>
            <w:tcBorders>
              <w:top w:val="single" w:color="000000" w:sz="4" w:space="0"/>
              <w:left w:val="single" w:color="000000" w:sz="4" w:space="0"/>
              <w:bottom w:val="single" w:color="000000" w:sz="4" w:space="0"/>
              <w:right w:val="single" w:color="000000" w:sz="4" w:space="0"/>
            </w:tcBorders>
            <w:vAlign w:val="center"/>
          </w:tcP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绩效评价</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按要求将项目支出绩效评价结果编入预算并公开</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《财政部关于印发&lt;项目支出绩效评价管理办法&gt;的通知》(财预(2020)10号)第二十八条；《湖南省财政厅关于印发&lt;湖南省预算支出绩效评价管理办法&gt;的通知》(湘财绩(2020)7号）第四十二条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sz w:val="20"/>
                <w:szCs w:val="20"/>
                <w:u w:val="none"/>
                <w:lang w:eastAsia="zh-CN"/>
              </w:rPr>
              <w:t>规划财务股</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http://www.yuanling.gov.cn/yuanling/c108873/zfxxgkMultiList.shtml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520" w:hRule="atLeast"/>
        </w:trPr>
        <w:tc>
          <w:tcPr>
            <w:tcW w:w="7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宋体" w:cs="Times New Roman"/>
                <w:i w:val="0"/>
                <w:iCs w:val="0"/>
                <w:color w:val="000000"/>
                <w:sz w:val="20"/>
                <w:szCs w:val="20"/>
                <w:u w:val="none"/>
              </w:rPr>
            </w:pPr>
            <w:r>
              <w:rPr>
                <w:rFonts w:ascii="Times New Roman" w:hAnsi="Times New Roman" w:eastAsia="宋体" w:cs="Times New Roman"/>
                <w:i w:val="0"/>
                <w:iCs w:val="0"/>
                <w:color w:val="000000"/>
                <w:kern w:val="0"/>
                <w:sz w:val="20"/>
                <w:szCs w:val="20"/>
                <w:u w:val="none"/>
                <w:lang w:val="en-US" w:eastAsia="zh-CN"/>
              </w:rPr>
              <w:t>7</w:t>
            </w:r>
          </w:p>
        </w:tc>
        <w:tc>
          <w:tcPr>
            <w:tcW w:w="117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行政事业性收费信息</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行政事业性收费清单</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行政事业性收费的收费主体、收费对象、收费范围、计费（量）单位和标准、收费频次等。</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《中华人民共和国政府信息公开条例》（国务院令第711号)</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sz w:val="20"/>
                <w:szCs w:val="20"/>
                <w:u w:val="none"/>
                <w:lang w:eastAsia="zh-CN"/>
              </w:rPr>
              <w:t>规划财务股</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http://www.yuanling.gov.cn/yuanling/c131815/list2020.shtml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265" w:hRule="atLeast"/>
        </w:trPr>
        <w:tc>
          <w:tcPr>
            <w:tcW w:w="7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ascii="Times New Roman" w:hAnsi="Times New Roman" w:eastAsia="宋体" w:cs="Times New Roman"/>
                <w:i w:val="0"/>
                <w:iCs w:val="0"/>
                <w:color w:val="000000"/>
                <w:sz w:val="20"/>
                <w:szCs w:val="20"/>
                <w:u w:val="none"/>
              </w:rPr>
            </w:pPr>
            <w:r>
              <w:rPr>
                <w:rFonts w:ascii="Times New Roman" w:hAnsi="Times New Roman" w:eastAsia="宋体" w:cs="Times New Roman"/>
                <w:i w:val="0"/>
                <w:iCs w:val="0"/>
                <w:color w:val="000000"/>
                <w:kern w:val="0"/>
                <w:sz w:val="20"/>
                <w:szCs w:val="20"/>
                <w:u w:val="none"/>
                <w:lang w:val="en-US" w:eastAsia="zh-CN"/>
              </w:rPr>
              <w:t>8</w:t>
            </w:r>
          </w:p>
        </w:tc>
        <w:tc>
          <w:tcPr>
            <w:tcW w:w="117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政府采购</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政府集中采购项目的实施情况</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方正仿宋_GBK"/>
                <w:color w:val="000000"/>
                <w:kern w:val="0"/>
                <w:sz w:val="20"/>
              </w:rPr>
            </w:pPr>
            <w:r>
              <w:rPr>
                <w:rFonts w:hint="eastAsia" w:eastAsia="方正仿宋_GBK"/>
                <w:color w:val="000000"/>
                <w:kern w:val="0"/>
                <w:sz w:val="20"/>
              </w:rPr>
              <w:t>包括采购项目公告、采购文件、采购项目预算金额、采购结果、采购合同等信息</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中华人民共和国政府采购法》第六十三条：《中华人民共和国预算法》第十四条；《中华人民共和国政府信息公开条例》（国务院令第711号）第二十条；《国务院办公厅关于推进公共资源配置领域政府信息公开的意见》(国办发(2017) 97 号)第二部分第（一）条第4点</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sz w:val="20"/>
                <w:szCs w:val="20"/>
                <w:u w:val="none"/>
                <w:lang w:eastAsia="zh-CN"/>
              </w:rPr>
              <w:t>规划财务股</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http://www.yuanling.gov.cn/yuanling/c109038/zfxxgkMultiList.shtml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80" w:hRule="atLeast"/>
        </w:trPr>
        <w:tc>
          <w:tcPr>
            <w:tcW w:w="7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宋体" w:cs="Times New Roman"/>
                <w:i w:val="0"/>
                <w:iCs w:val="0"/>
                <w:color w:val="000000"/>
                <w:sz w:val="20"/>
                <w:szCs w:val="20"/>
                <w:u w:val="none"/>
              </w:rPr>
            </w:pPr>
            <w:r>
              <w:rPr>
                <w:rFonts w:ascii="Times New Roman" w:hAnsi="Times New Roman" w:eastAsia="宋体" w:cs="Times New Roman"/>
                <w:i w:val="0"/>
                <w:iCs w:val="0"/>
                <w:color w:val="000000"/>
                <w:kern w:val="0"/>
                <w:sz w:val="20"/>
                <w:szCs w:val="20"/>
                <w:u w:val="none"/>
                <w:lang w:val="en-US" w:eastAsia="zh-CN"/>
              </w:rPr>
              <w:t>9</w:t>
            </w:r>
          </w:p>
        </w:tc>
        <w:tc>
          <w:tcPr>
            <w:tcW w:w="117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重大建设项目</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方正仿宋_GBK"/>
                <w:color w:val="000000"/>
                <w:kern w:val="0"/>
                <w:sz w:val="20"/>
              </w:rPr>
            </w:pPr>
            <w:r>
              <w:rPr>
                <w:rFonts w:hint="eastAsia" w:eastAsia="方正仿宋_GBK"/>
                <w:color w:val="000000"/>
                <w:kern w:val="0"/>
                <w:sz w:val="20"/>
              </w:rPr>
              <w:t>应急管理领域重大建设项目的批准和实施情况</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应急管理领域重大建设项目名称、审批、核准、备案和批准结果信息，实施过程、结果和社会效果等信息</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《中华人民共和国政府信息公开条例》（国务院令第711号）第二十条；《国务院办公厅关于推进重大建设项目批准和实施领域政府信息公开的意见》（国办发(2017）94号）</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sz w:val="20"/>
                <w:szCs w:val="20"/>
                <w:u w:val="none"/>
                <w:lang w:eastAsia="zh-CN"/>
              </w:rPr>
              <w:t>规划财务股</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https://www.yuanling.gov.cn/yuanling/c138709/zfxxgkList.shtml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805" w:hRule="atLeast"/>
        </w:trPr>
        <w:tc>
          <w:tcPr>
            <w:tcW w:w="7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宋体" w:cs="Times New Roman"/>
                <w:i w:val="0"/>
                <w:iCs w:val="0"/>
                <w:color w:val="000000"/>
                <w:sz w:val="20"/>
                <w:szCs w:val="20"/>
                <w:u w:val="none"/>
                <w:lang w:val="en-US"/>
              </w:rPr>
            </w:pPr>
            <w:r>
              <w:rPr>
                <w:rFonts w:ascii="Times New Roman" w:hAnsi="Times New Roman" w:eastAsia="宋体" w:cs="Times New Roman"/>
                <w:i w:val="0"/>
                <w:iCs w:val="0"/>
                <w:color w:val="000000"/>
                <w:kern w:val="0"/>
                <w:sz w:val="20"/>
                <w:szCs w:val="20"/>
                <w:u w:val="none"/>
                <w:lang w:val="en-US" w:eastAsia="zh-CN"/>
              </w:rPr>
              <w:t>10</w:t>
            </w:r>
          </w:p>
        </w:tc>
        <w:tc>
          <w:tcPr>
            <w:tcW w:w="117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应急管理</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突发公共事件的应急预案、预警信息及应对情况</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应急管理领域突发公共事件应急预案，发布的预警信息和事件应对情况</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《中华人民共和国政府信息公开条例》(国务院令第711号)第二十条；《国务院办公厅关于印发&lt;突发事件应急预案管理办法&gt;的通知》（国办发（2024)5号）第二十八条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sz w:val="20"/>
                <w:szCs w:val="20"/>
                <w:u w:val="none"/>
                <w:lang w:val="en-US" w:eastAsia="zh-CN"/>
              </w:rPr>
              <w:t>办公室</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http://www.yuanling.gov.cn/yuanling/c108888/zfxxgkMultiList.shtml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909" w:hRule="atLeast"/>
        </w:trPr>
        <w:tc>
          <w:tcPr>
            <w:tcW w:w="7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宋体" w:cs="Times New Roman"/>
                <w:i w:val="0"/>
                <w:iCs w:val="0"/>
                <w:color w:val="000000"/>
                <w:sz w:val="20"/>
                <w:szCs w:val="20"/>
                <w:u w:val="none"/>
                <w:lang w:val="en-US"/>
              </w:rPr>
            </w:pPr>
            <w:r>
              <w:rPr>
                <w:rFonts w:ascii="Times New Roman" w:hAnsi="Times New Roman" w:eastAsia="宋体" w:cs="Times New Roman"/>
                <w:i w:val="0"/>
                <w:iCs w:val="0"/>
                <w:color w:val="000000"/>
                <w:kern w:val="0"/>
                <w:sz w:val="20"/>
                <w:szCs w:val="20"/>
                <w:u w:val="none"/>
                <w:lang w:val="en-US" w:eastAsia="zh-CN"/>
              </w:rPr>
              <w:t>1</w:t>
            </w:r>
            <w:r>
              <w:rPr>
                <w:rFonts w:hint="eastAsia" w:eastAsia="宋体" w:cs="Times New Roman"/>
                <w:i w:val="0"/>
                <w:iCs w:val="0"/>
                <w:color w:val="000000"/>
                <w:kern w:val="0"/>
                <w:sz w:val="20"/>
                <w:szCs w:val="20"/>
                <w:u w:val="none"/>
                <w:lang w:val="en-US" w:eastAsia="zh-CN"/>
              </w:rPr>
              <w:t>1</w:t>
            </w:r>
          </w:p>
        </w:tc>
        <w:tc>
          <w:tcPr>
            <w:tcW w:w="117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建议提案</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人大代表建议和政协提案办理</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对涉及公共利益、公众权益、社会关切及需要社会广泛知晓的省人大代表建议、省政协提案及其答复意见经审查可以公开的</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中华人民共和国全国人民代表大会和地方各级人民代表大会代表法》第五十一条：《中国人民政治协商会议全国委员会提案工作条例》第二十三条湖南省人民政府办公厅关于印发《省人大代表建议和省政协提案办理工作规定&gt;的通知》（湘政办发(2017）41号）第十三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自该政府信息形成或者变更之日起20个工作日内：省人大代表建议和省政协提案在答复代表和提案者后一个月内开</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sz w:val="20"/>
                <w:szCs w:val="20"/>
                <w:u w:val="none"/>
                <w:lang w:val="en-US" w:eastAsia="zh-CN"/>
              </w:rPr>
              <w:t>办公室</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https://www.yuanling.gov.cn/yuanling/c138710/zfxxgkList.shtml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190" w:hRule="atLeast"/>
        </w:trPr>
        <w:tc>
          <w:tcPr>
            <w:tcW w:w="7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宋体" w:cs="Times New Roman"/>
                <w:i w:val="0"/>
                <w:iCs w:val="0"/>
                <w:color w:val="000000"/>
                <w:sz w:val="20"/>
                <w:szCs w:val="20"/>
                <w:u w:val="none"/>
                <w:lang w:val="en-US"/>
              </w:rPr>
            </w:pPr>
            <w:r>
              <w:rPr>
                <w:rFonts w:ascii="Times New Roman" w:hAnsi="Times New Roman" w:eastAsia="宋体" w:cs="Times New Roman"/>
                <w:i w:val="0"/>
                <w:iCs w:val="0"/>
                <w:color w:val="000000"/>
                <w:kern w:val="0"/>
                <w:sz w:val="20"/>
                <w:szCs w:val="20"/>
                <w:u w:val="none"/>
                <w:lang w:val="en-US" w:eastAsia="zh-CN"/>
              </w:rPr>
              <w:t>1</w:t>
            </w:r>
            <w:r>
              <w:rPr>
                <w:rFonts w:hint="eastAsia" w:eastAsia="宋体" w:cs="Times New Roman"/>
                <w:i w:val="0"/>
                <w:iCs w:val="0"/>
                <w:color w:val="000000"/>
                <w:kern w:val="0"/>
                <w:sz w:val="20"/>
                <w:szCs w:val="20"/>
                <w:u w:val="none"/>
                <w:lang w:val="en-US" w:eastAsia="zh-CN"/>
              </w:rPr>
              <w:t>2</w:t>
            </w:r>
          </w:p>
        </w:tc>
        <w:tc>
          <w:tcPr>
            <w:tcW w:w="117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法治政府建设年度报告</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方正仿宋_GBK"/>
                <w:color w:val="000000"/>
                <w:kern w:val="0"/>
                <w:sz w:val="20"/>
              </w:rPr>
            </w:pPr>
            <w:r>
              <w:rPr>
                <w:rFonts w:hint="eastAsia" w:eastAsia="方正仿宋_GBK"/>
                <w:color w:val="000000"/>
                <w:kern w:val="0"/>
                <w:sz w:val="20"/>
              </w:rPr>
              <w:t>法治政府建设年度报告</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上一年度推进法治政府建设的主要举措和成效、存在的不足和原因，党政主要负责人履行推进法治建设第一责任人职责，加强法治政府建设的有关情况；下一年度推进法治政府建设的主要安排；其他需要报告的情况</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中共中央办公厅 国务院办公厅印发《法治政府建设与责任落实督察工作规定》第二十四条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每年4月1日之前</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kern w:val="0"/>
                <w:sz w:val="20"/>
                <w:szCs w:val="20"/>
                <w:u w:val="none"/>
                <w:lang w:val="en-US" w:eastAsia="zh-CN"/>
              </w:rPr>
              <w:t>政策法规股</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http://www.yuanling.gov.cn/yuanling/c118941/list2020.shtml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685" w:hRule="atLeast"/>
        </w:trPr>
        <w:tc>
          <w:tcPr>
            <w:tcW w:w="71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宋体" w:cs="Times New Roman"/>
                <w:i w:val="0"/>
                <w:iCs w:val="0"/>
                <w:color w:val="000000"/>
                <w:sz w:val="20"/>
                <w:szCs w:val="20"/>
                <w:u w:val="none"/>
              </w:rPr>
            </w:pPr>
            <w:r>
              <w:rPr>
                <w:rFonts w:ascii="Times New Roman" w:hAnsi="Times New Roman" w:eastAsia="宋体" w:cs="Times New Roman"/>
                <w:i w:val="0"/>
                <w:iCs w:val="0"/>
                <w:color w:val="000000"/>
                <w:kern w:val="0"/>
                <w:sz w:val="20"/>
                <w:szCs w:val="20"/>
                <w:u w:val="none"/>
                <w:lang w:val="en-US" w:eastAsia="zh-CN"/>
              </w:rPr>
              <w:t>1</w:t>
            </w:r>
            <w:r>
              <w:rPr>
                <w:rFonts w:hint="eastAsia" w:eastAsia="宋体" w:cs="Times New Roman"/>
                <w:i w:val="0"/>
                <w:iCs w:val="0"/>
                <w:color w:val="000000"/>
                <w:kern w:val="0"/>
                <w:sz w:val="20"/>
                <w:szCs w:val="20"/>
                <w:u w:val="none"/>
                <w:lang w:val="en-US" w:eastAsia="zh-CN"/>
              </w:rPr>
              <w:t>3</w:t>
            </w:r>
          </w:p>
        </w:tc>
        <w:tc>
          <w:tcPr>
            <w:tcW w:w="11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业务事项</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方正仿宋_GBK"/>
                <w:color w:val="000000"/>
                <w:kern w:val="0"/>
                <w:sz w:val="20"/>
              </w:rPr>
            </w:pPr>
            <w:r>
              <w:rPr>
                <w:rFonts w:hint="eastAsia" w:eastAsia="方正仿宋_GBK"/>
                <w:color w:val="000000"/>
                <w:kern w:val="0"/>
                <w:sz w:val="20"/>
              </w:rPr>
              <w:t>安全生产监督检查情况</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开展安全生产监督检查的情况</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《中华人民共和国政府信息公开条例》（国务院令第711号）；安全生产监管监察部门信息公开办法》（国家安全生产监督管理总局令第56号）</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办公室</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http://www.yuanling.gov.cn/yuanling/c132243/zfxxgkList.shtml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83" w:hRule="atLeast"/>
        </w:trPr>
        <w:tc>
          <w:tcPr>
            <w:tcW w:w="714" w:type="dxa"/>
            <w:vMerge w:val="continue"/>
            <w:tcBorders>
              <w:top w:val="single" w:color="000000" w:sz="4" w:space="0"/>
              <w:left w:val="single" w:color="000000" w:sz="4" w:space="0"/>
              <w:bottom w:val="single" w:color="000000" w:sz="4" w:space="0"/>
              <w:right w:val="single" w:color="000000" w:sz="4" w:space="0"/>
            </w:tcBorders>
            <w:vAlign w:val="center"/>
          </w:tcPr>
          <w:p/>
        </w:tc>
        <w:tc>
          <w:tcPr>
            <w:tcW w:w="1171" w:type="dxa"/>
            <w:vMerge w:val="continue"/>
            <w:tcBorders>
              <w:top w:val="single" w:color="000000" w:sz="4" w:space="0"/>
              <w:left w:val="single" w:color="000000" w:sz="4" w:space="0"/>
              <w:bottom w:val="single" w:color="000000" w:sz="4" w:space="0"/>
              <w:right w:val="single" w:color="000000" w:sz="4" w:space="0"/>
            </w:tcBorders>
            <w:vAlign w:val="center"/>
          </w:tcPr>
          <w:p/>
        </w:tc>
        <w:tc>
          <w:tcPr>
            <w:tcW w:w="114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方正仿宋_GBK"/>
                <w:color w:val="000000"/>
                <w:kern w:val="0"/>
                <w:sz w:val="20"/>
              </w:rPr>
            </w:pPr>
            <w:r>
              <w:rPr>
                <w:rFonts w:hint="eastAsia" w:eastAsia="方正仿宋_GBK"/>
                <w:color w:val="000000"/>
                <w:kern w:val="0"/>
                <w:sz w:val="20"/>
              </w:rPr>
              <w:t>安全生产事故调查报告</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事故调查报告，以及事故整改和防范措施落实情况评估结果</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《中华人民共和国安全生产法》；《安全生产监管监察部门信息公开办法》（国家安全生产监督管理总局令第56号)</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sz w:val="20"/>
                <w:szCs w:val="20"/>
                <w:u w:val="none"/>
                <w:lang w:val="en-US" w:eastAsia="zh-CN"/>
              </w:rPr>
              <w:t>办公室</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hint="eastAsia" w:ascii="Times New Roman" w:hAnsi="Times New Roman" w:eastAsia="方正仿宋_GBK" w:cs="Times New Roman"/>
                <w:i w:val="0"/>
                <w:iCs w:val="0"/>
                <w:color w:val="auto"/>
                <w:sz w:val="20"/>
                <w:szCs w:val="20"/>
                <w:u w:val="none"/>
              </w:rPr>
              <w:t>http://www.yuanling.gov.cn/yuanling/c118941/list2020.shtml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475" w:hRule="atLeast"/>
        </w:trPr>
        <w:tc>
          <w:tcPr>
            <w:tcW w:w="714" w:type="dxa"/>
            <w:vMerge w:val="continue"/>
            <w:tcBorders>
              <w:top w:val="single" w:color="000000" w:sz="4" w:space="0"/>
              <w:left w:val="single" w:color="000000" w:sz="4" w:space="0"/>
              <w:bottom w:val="single" w:color="000000" w:sz="4" w:space="0"/>
              <w:right w:val="single" w:color="000000" w:sz="4" w:space="0"/>
            </w:tcBorders>
            <w:vAlign w:val="center"/>
          </w:tcPr>
          <w:p/>
        </w:tc>
        <w:tc>
          <w:tcPr>
            <w:tcW w:w="1171" w:type="dxa"/>
            <w:vMerge w:val="continue"/>
            <w:tcBorders>
              <w:top w:val="single" w:color="000000" w:sz="4" w:space="0"/>
              <w:left w:val="single" w:color="000000" w:sz="4" w:space="0"/>
              <w:bottom w:val="single" w:color="000000" w:sz="4" w:space="0"/>
              <w:right w:val="single" w:color="000000" w:sz="4" w:space="0"/>
            </w:tcBorders>
            <w:vAlign w:val="center"/>
          </w:tcP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安全生产线索举报联系方式</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安全生产监督管理值班电话，受理事故报告和举报</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《中华人民共和国安全生产法》；《生产安全事故报告和调查处理条例》(国务院令第493号)</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val="en-US" w:eastAsia="zh-CN"/>
              </w:rPr>
              <w:t>办公室</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hint="eastAsia" w:ascii="Times New Roman" w:hAnsi="Times New Roman" w:eastAsia="方正仿宋_GBK" w:cs="Times New Roman"/>
                <w:i w:val="0"/>
                <w:iCs w:val="0"/>
                <w:color w:val="auto"/>
                <w:sz w:val="20"/>
                <w:szCs w:val="20"/>
                <w:u w:val="none"/>
              </w:rPr>
              <w:t>https://dctjfx.mem.gov.cn/aqscjb#/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95" w:hRule="atLeast"/>
        </w:trPr>
        <w:tc>
          <w:tcPr>
            <w:tcW w:w="714" w:type="dxa"/>
            <w:vMerge w:val="continue"/>
            <w:tcBorders>
              <w:top w:val="single" w:color="000000" w:sz="4" w:space="0"/>
              <w:left w:val="single" w:color="000000" w:sz="4" w:space="0"/>
              <w:bottom w:val="single" w:color="000000" w:sz="4" w:space="0"/>
              <w:right w:val="single" w:color="000000" w:sz="4" w:space="0"/>
            </w:tcBorders>
            <w:vAlign w:val="center"/>
          </w:tcPr>
          <w:p/>
        </w:tc>
        <w:tc>
          <w:tcPr>
            <w:tcW w:w="1171" w:type="dxa"/>
            <w:vMerge w:val="continue"/>
            <w:tcBorders>
              <w:top w:val="single" w:color="000000" w:sz="4" w:space="0"/>
              <w:left w:val="single" w:color="000000" w:sz="4" w:space="0"/>
              <w:bottom w:val="single" w:color="000000" w:sz="4" w:space="0"/>
              <w:right w:val="single" w:color="000000" w:sz="4" w:space="0"/>
            </w:tcBorders>
            <w:vAlign w:val="center"/>
          </w:tcP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安全生产典型案例</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生产经营单位及其有关从业人员的安全生产违法行为信息、对违法行为情节严重的生产经营单位及其有关从业人员信息</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《中华人民共和国安全生产法》</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val="en-US" w:eastAsia="zh-CN"/>
              </w:rPr>
              <w:t>办公室</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hint="eastAsia" w:ascii="Times New Roman" w:hAnsi="Times New Roman" w:eastAsia="方正仿宋_GBK" w:cs="Times New Roman"/>
                <w:i w:val="0"/>
                <w:iCs w:val="0"/>
                <w:color w:val="auto"/>
                <w:sz w:val="20"/>
                <w:szCs w:val="20"/>
                <w:u w:val="none"/>
              </w:rPr>
              <w:t>http://www.yuanling.gov.cn/yuanling/c133095/2021jczwgk_gkly.shtml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945" w:hRule="atLeast"/>
        </w:trPr>
        <w:tc>
          <w:tcPr>
            <w:tcW w:w="71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Times New Roman" w:hAnsi="Times New Roman" w:eastAsia="宋体" w:cs="Times New Roman"/>
                <w:i w:val="0"/>
                <w:iCs w:val="0"/>
                <w:color w:val="000000"/>
                <w:sz w:val="20"/>
                <w:szCs w:val="20"/>
                <w:u w:val="none"/>
              </w:rPr>
            </w:pPr>
            <w:r>
              <w:rPr>
                <w:rFonts w:ascii="Times New Roman" w:hAnsi="Times New Roman" w:eastAsia="宋体" w:cs="Times New Roman"/>
                <w:i w:val="0"/>
                <w:iCs w:val="0"/>
                <w:color w:val="000000"/>
                <w:kern w:val="0"/>
                <w:sz w:val="20"/>
                <w:szCs w:val="20"/>
                <w:u w:val="none"/>
                <w:lang w:val="en-US" w:eastAsia="zh-CN"/>
              </w:rPr>
              <w:t>1</w:t>
            </w:r>
            <w:r>
              <w:rPr>
                <w:rFonts w:hint="eastAsia" w:eastAsia="宋体" w:cs="Times New Roman"/>
                <w:i w:val="0"/>
                <w:iCs w:val="0"/>
                <w:color w:val="000000"/>
                <w:kern w:val="0"/>
                <w:sz w:val="20"/>
                <w:szCs w:val="20"/>
                <w:u w:val="none"/>
                <w:lang w:val="en-US" w:eastAsia="zh-CN"/>
              </w:rPr>
              <w:t>4</w:t>
            </w:r>
          </w:p>
        </w:tc>
        <w:tc>
          <w:tcPr>
            <w:tcW w:w="1171" w:type="dxa"/>
            <w:vMerge w:val="restart"/>
            <w:tcBorders>
              <w:top w:val="single" w:color="000000" w:sz="4" w:space="0"/>
              <w:left w:val="nil"/>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方正仿宋_GBK" w:cs="Times New Roman"/>
                <w:i w:val="0"/>
                <w:iCs w:val="0"/>
                <w:color w:val="000000"/>
                <w:sz w:val="20"/>
                <w:szCs w:val="20"/>
                <w:u w:val="none"/>
              </w:rPr>
            </w:pPr>
            <w:r>
              <w:rPr>
                <w:rFonts w:hint="eastAsia" w:ascii="Times New Roman" w:hAnsi="Times New Roman" w:eastAsia="方正仿宋_GBK" w:cs="Times New Roman"/>
                <w:i w:val="0"/>
                <w:iCs w:val="0"/>
                <w:color w:val="000000"/>
                <w:kern w:val="0"/>
                <w:sz w:val="20"/>
                <w:szCs w:val="20"/>
                <w:u w:val="none"/>
                <w:lang w:val="en-US" w:eastAsia="zh-CN"/>
              </w:rPr>
              <w:t>政府信息公开</w:t>
            </w: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政府信息公开指南</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方正仿宋_GBK"/>
                <w:color w:val="000000"/>
                <w:kern w:val="0"/>
                <w:sz w:val="20"/>
              </w:rPr>
            </w:pPr>
            <w:r>
              <w:rPr>
                <w:rFonts w:hint="eastAsia" w:eastAsia="方正仿宋_GBK"/>
                <w:color w:val="000000"/>
                <w:kern w:val="0"/>
                <w:sz w:val="20"/>
              </w:rPr>
              <w:t>政府信息主动公开、依申请公开有关情况，不予公开的内容，政府信息公开工作机构的名称、办公地址、办公时间、联系电话、传真号码、互联网联系方式等</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《中华人民共和国政府信息公开条例》（国务院令第711号）第十二条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kern w:val="0"/>
                <w:sz w:val="20"/>
                <w:szCs w:val="20"/>
                <w:u w:val="none"/>
                <w:lang w:val="en-US" w:eastAsia="zh-CN"/>
              </w:rPr>
              <w:t>办公室</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http://www.yuanling.gov.cn/yuanling/c118945/singleArticle2020.shtml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135" w:hRule="atLeast"/>
        </w:trPr>
        <w:tc>
          <w:tcPr>
            <w:tcW w:w="714" w:type="dxa"/>
            <w:vMerge w:val="continue"/>
            <w:tcBorders>
              <w:top w:val="single" w:color="000000" w:sz="4" w:space="0"/>
              <w:left w:val="single" w:color="000000" w:sz="4" w:space="0"/>
              <w:bottom w:val="single" w:color="000000" w:sz="4" w:space="0"/>
              <w:right w:val="single" w:color="000000" w:sz="4" w:space="0"/>
            </w:tcBorders>
            <w:vAlign w:val="center"/>
          </w:tcPr>
          <w:p/>
        </w:tc>
        <w:tc>
          <w:tcPr>
            <w:tcW w:w="1171" w:type="dxa"/>
            <w:vMerge w:val="continue"/>
            <w:tcBorders>
              <w:top w:val="single" w:color="000000" w:sz="4" w:space="0"/>
              <w:left w:val="nil"/>
              <w:bottom w:val="single" w:color="000000" w:sz="4" w:space="0"/>
              <w:right w:val="single" w:color="000000" w:sz="4" w:space="0"/>
            </w:tcBorders>
            <w:vAlign w:val="center"/>
          </w:tcP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政府信息公开目录</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政府信息主动公开事项目录</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《中华人民共和国政府信息公开条例》（国务院令第711号）第十二条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kern w:val="0"/>
                <w:sz w:val="20"/>
                <w:szCs w:val="20"/>
                <w:u w:val="none"/>
                <w:lang w:val="en-US" w:eastAsia="zh-CN"/>
              </w:rPr>
              <w:t>办公室</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https://www.yuanling.gov.cn/yuanling/c138687/fulllist.shtml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80" w:hRule="atLeast"/>
        </w:trPr>
        <w:tc>
          <w:tcPr>
            <w:tcW w:w="714" w:type="dxa"/>
            <w:vMerge w:val="continue"/>
            <w:tcBorders>
              <w:top w:val="single" w:color="000000" w:sz="4" w:space="0"/>
              <w:left w:val="single" w:color="000000" w:sz="4" w:space="0"/>
              <w:bottom w:val="single" w:color="000000" w:sz="4" w:space="0"/>
              <w:right w:val="single" w:color="000000" w:sz="4" w:space="0"/>
            </w:tcBorders>
            <w:vAlign w:val="center"/>
          </w:tcPr>
          <w:p/>
        </w:tc>
        <w:tc>
          <w:tcPr>
            <w:tcW w:w="1171" w:type="dxa"/>
            <w:vMerge w:val="continue"/>
            <w:tcBorders>
              <w:top w:val="single" w:color="000000" w:sz="4" w:space="0"/>
              <w:left w:val="nil"/>
              <w:bottom w:val="single" w:color="000000" w:sz="4" w:space="0"/>
              <w:right w:val="single" w:color="000000" w:sz="4" w:space="0"/>
            </w:tcBorders>
            <w:vAlign w:val="center"/>
          </w:tcPr>
          <w:p/>
        </w:tc>
        <w:tc>
          <w:tcPr>
            <w:tcW w:w="1146"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政府信息公开工作年度报告</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政府信息公开工作年度报告</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《中华人民共和国政府信息公开条例》（国务院令第711号）第四十九条</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每年1月31日前向社会公布</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kern w:val="0"/>
                <w:sz w:val="20"/>
                <w:szCs w:val="20"/>
                <w:u w:val="none"/>
                <w:lang w:val="en-US" w:eastAsia="zh-CN"/>
              </w:rPr>
              <w:t>办公室</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http://www.yuanling.gov.cn/yuanling/c118946/list2020.shtml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287" w:hRule="atLeast"/>
        </w:trPr>
        <w:tc>
          <w:tcPr>
            <w:tcW w:w="714" w:type="dxa"/>
            <w:vMerge w:val="continue"/>
            <w:tcBorders>
              <w:top w:val="single" w:color="000000" w:sz="4" w:space="0"/>
              <w:left w:val="single" w:color="000000" w:sz="4" w:space="0"/>
              <w:bottom w:val="single" w:color="000000" w:sz="4" w:space="0"/>
              <w:right w:val="single" w:color="000000" w:sz="4" w:space="0"/>
            </w:tcBorders>
            <w:vAlign w:val="center"/>
          </w:tcPr>
          <w:p/>
        </w:tc>
        <w:tc>
          <w:tcPr>
            <w:tcW w:w="1171" w:type="dxa"/>
            <w:vMerge w:val="continue"/>
            <w:tcBorders>
              <w:top w:val="single" w:color="000000" w:sz="4" w:space="0"/>
              <w:left w:val="nil"/>
              <w:bottom w:val="single" w:color="000000" w:sz="4" w:space="0"/>
              <w:right w:val="single" w:color="000000" w:sz="4" w:space="0"/>
            </w:tcBorders>
            <w:vAlign w:val="center"/>
          </w:tcPr>
          <w:p/>
        </w:tc>
        <w:tc>
          <w:tcPr>
            <w:tcW w:w="114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方正仿宋_GBK"/>
                <w:color w:val="000000"/>
                <w:kern w:val="0"/>
                <w:sz w:val="20"/>
              </w:rPr>
            </w:pPr>
            <w:r>
              <w:rPr>
                <w:rFonts w:hint="eastAsia" w:eastAsia="方正仿宋_GBK"/>
                <w:color w:val="000000"/>
                <w:kern w:val="0"/>
                <w:sz w:val="20"/>
              </w:rPr>
              <w:t>政府信息公开工作制度</w:t>
            </w:r>
          </w:p>
        </w:tc>
        <w:tc>
          <w:tcPr>
            <w:tcW w:w="161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eastAsia="方正仿宋_GBK"/>
                <w:color w:val="000000"/>
                <w:kern w:val="0"/>
                <w:sz w:val="20"/>
              </w:rPr>
            </w:pPr>
            <w:r>
              <w:rPr>
                <w:rFonts w:hint="eastAsia" w:eastAsia="方正仿宋_GBK"/>
                <w:color w:val="000000"/>
                <w:kern w:val="0"/>
                <w:sz w:val="20"/>
              </w:rPr>
              <w:t>包括《中华人民共和国政府信息公开条例》，政府信息公开方面的地方性法规、自治条例、单行条例、规章，以及全国政府信息公开工作主管部门发布的法规解释性文件，原则上不包括其他制度文件</w:t>
            </w:r>
          </w:p>
        </w:tc>
        <w:tc>
          <w:tcPr>
            <w:tcW w:w="3063"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《国务院办公厅政府信息与政务公开办公室关于规范政府信息公开平台有关事项的通知》（国办公开办函（2019)61号)第二部分</w:t>
            </w:r>
          </w:p>
        </w:tc>
        <w:tc>
          <w:tcPr>
            <w:tcW w:w="112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hAnsi="Times New Roman" w:eastAsia="方正仿宋_GBK"/>
                <w:color w:val="000000"/>
                <w:kern w:val="0"/>
                <w:sz w:val="20"/>
              </w:rPr>
            </w:pPr>
            <w:r>
              <w:rPr>
                <w:rFonts w:hint="eastAsia" w:eastAsia="方正仿宋_GBK"/>
                <w:color w:val="000000"/>
                <w:kern w:val="0"/>
                <w:sz w:val="20"/>
              </w:rPr>
              <w:t>政府网站</w:t>
            </w:r>
          </w:p>
        </w:tc>
        <w:tc>
          <w:tcPr>
            <w:tcW w:w="1868"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hAnsi="Times New Roman" w:eastAsia="方正仿宋_GBK"/>
                <w:color w:val="000000"/>
                <w:kern w:val="0"/>
                <w:sz w:val="20"/>
              </w:rPr>
            </w:pPr>
            <w:r>
              <w:rPr>
                <w:rFonts w:hint="eastAsia" w:eastAsia="方正仿宋_GBK"/>
                <w:color w:val="000000"/>
                <w:kern w:val="0"/>
                <w:sz w:val="20"/>
              </w:rPr>
              <w:t>自该政府信息形成或者变更之日起20个工作日内</w:t>
            </w:r>
          </w:p>
        </w:tc>
        <w:tc>
          <w:tcPr>
            <w:tcW w:w="1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Times New Roman" w:hAnsi="Times New Roman" w:eastAsia="方正仿宋_GBK" w:cs="Times New Roman"/>
                <w:i w:val="0"/>
                <w:iCs w:val="0"/>
                <w:color w:val="000000"/>
                <w:sz w:val="20"/>
                <w:szCs w:val="20"/>
                <w:u w:val="none"/>
              </w:rPr>
            </w:pPr>
            <w:r>
              <w:rPr>
                <w:rFonts w:hint="eastAsia" w:eastAsia="方正仿宋_GBK" w:cs="Times New Roman"/>
                <w:i w:val="0"/>
                <w:iCs w:val="0"/>
                <w:color w:val="000000"/>
                <w:kern w:val="0"/>
                <w:sz w:val="20"/>
                <w:szCs w:val="20"/>
                <w:u w:val="none"/>
                <w:lang w:val="en-US" w:eastAsia="zh-CN"/>
              </w:rPr>
              <w:t>办公室</w:t>
            </w:r>
          </w:p>
        </w:tc>
        <w:tc>
          <w:tcPr>
            <w:tcW w:w="11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both"/>
              <w:rPr>
                <w:rFonts w:hint="eastAsia" w:ascii="Times New Roman" w:hAnsi="Times New Roman" w:eastAsia="方正仿宋_GBK" w:cs="Times New Roman"/>
                <w:i w:val="0"/>
                <w:iCs w:val="0"/>
                <w:color w:val="auto"/>
                <w:sz w:val="20"/>
                <w:szCs w:val="20"/>
                <w:u w:val="none"/>
              </w:rPr>
            </w:pPr>
            <w:r>
              <w:rPr>
                <w:rFonts w:ascii="Times New Roman" w:hAnsi="Times New Roman" w:eastAsia="方正仿宋_GBK" w:cs="Times New Roman"/>
                <w:i w:val="0"/>
                <w:iCs w:val="0"/>
                <w:color w:val="auto"/>
                <w:sz w:val="20"/>
                <w:szCs w:val="20"/>
                <w:u w:val="none"/>
              </w:rPr>
              <w:t>http://www.yuanling.gov.cn/yuanling/c119577/zfxxgkList.shtml</w:t>
            </w:r>
          </w:p>
        </w:tc>
      </w:tr>
    </w:tbl>
    <w:p>
      <w:pPr>
        <w:pStyle w:val="2"/>
        <w:keepNext w:val="0"/>
        <w:keepLines w:val="0"/>
        <w:pageBreakBefore w:val="0"/>
        <w:widowControl w:val="0"/>
        <w:kinsoku/>
        <w:wordWrap/>
        <w:overflowPunct w:val="0"/>
        <w:topLinePunct w:val="0"/>
        <w:autoSpaceDE/>
        <w:autoSpaceDN/>
        <w:bidi w:val="0"/>
        <w:adjustRightInd/>
        <w:snapToGrid/>
        <w:spacing w:line="600" w:lineRule="exact"/>
        <w:jc w:val="both"/>
        <w:textAlignment w:val="baseline"/>
        <w:rPr>
          <w:rFonts w:ascii="Times New Roman" w:hAnsi="Times New Roman" w:eastAsia="方正小标宋_GBK" w:cs="Times New Roman"/>
          <w:b w:val="0"/>
          <w:bCs w:val="0"/>
          <w:kern w:val="2"/>
          <w:sz w:val="36"/>
          <w:szCs w:val="36"/>
          <w:lang w:val="en-US" w:eastAsia="zh-CN" w:bidi="ar-SA"/>
        </w:rPr>
        <w:sectPr>
          <w:footerReference r:id="rId3"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p>
    <w:p/>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cida Sans">
    <w:altName w:val="Lucida Sans Unicode"/>
    <w:panose1 w:val="020B0602030504020204"/>
    <w:charset w:val="00"/>
    <w:family w:val="auto"/>
    <w:pitch w:val="default"/>
    <w:sig w:usb0="00000000" w:usb1="00000000" w:usb2="00000000" w:usb3="00000000" w:csb0="20000001" w:csb1="00000000"/>
  </w:font>
  <w:font w:name="仿宋_GB2312">
    <w:panose1 w:val="02010609030101010101"/>
    <w:charset w:val="86"/>
    <w:family w:val="modern"/>
    <w:pitch w:val="default"/>
    <w:sig w:usb0="00000001" w:usb1="080E0000" w:usb2="00000000" w:usb3="00000000" w:csb0="00040000" w:csb1="00000000"/>
  </w:font>
  <w:font w:name="方正兰亭黑_GBK">
    <w:altName w:val="微软雅黑"/>
    <w:panose1 w:val="02000000000000000000"/>
    <w:charset w:val="86"/>
    <w:family w:val="script"/>
    <w:pitch w:val="default"/>
    <w:sig w:usb0="00000000" w:usb1="00000000" w:usb2="0008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76200" cy="152400"/>
              <wp:effectExtent l="0" t="0" r="0" b="0"/>
              <wp:wrapNone/>
              <wp:docPr id="1" name="文本框 1"/>
              <wp:cNvGraphicFramePr/>
              <a:graphic xmlns:a="http://schemas.openxmlformats.org/drawingml/2006/main">
                <a:graphicData uri="http://schemas.microsoft.com/office/word/2010/wordprocessingShape">
                  <wps:wsp>
                    <wps:cNvSpPr/>
                    <wps:spPr>
                      <a:xfrm>
                        <a:off x="0" y="0"/>
                        <a:ext cx="76200" cy="152400"/>
                      </a:xfrm>
                      <a:prstGeom prst="rect">
                        <a:avLst/>
                      </a:prstGeom>
                      <a:noFill/>
                      <a:ln cap="flat" cmpd="sng">
                        <a:noFill/>
                        <a:prstDash val="solid"/>
                        <a:round/>
                      </a:ln>
                    </wps:spPr>
                    <wps:txbx>
                      <w:txbxContent>
                        <w:p>
                          <w:pPr>
                            <w:pStyle w:val="6"/>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2pt;width:6pt;mso-position-horizontal:center;mso-position-horizontal-relative:margin;mso-wrap-style:none;z-index:1024;mso-width-relative:page;mso-height-relative:page;" filled="f" stroked="f" coordsize="21600,21600" o:gfxdata="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XWSabQAAAAAwEAAA8AAAAAAAAAAQAg&#10;AAAAIgAAAGRycy9kb3ducmV2LnhtbFBLAQIUABQAAAAIAIdO4kCF7Fhb3QEAAJwDAAAOAAAAAAAA&#10;AAEAIAAAAB8BAABkcnMvZTJvRG9jLnhtbFBLBQYAAAAABgAGAFkBAABuBQAAAAA=&#10;">
              <v:fill on="f" focussize="0,0"/>
              <v:stroke on="f" joinstyle="round"/>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oNotDisplayPageBoundaries w:val="1"/>
  <w:bordersDoNotSurroundHeader w:val="0"/>
  <w:bordersDoNotSurroundFooter w:val="0"/>
  <w:documentProtection w:enforcement="0"/>
  <w:defaultTabStop w:val="420"/>
  <w:drawingGridHorizontalSpacing w:val="154"/>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4F7414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Lucida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szCs w:val="20"/>
      <w:lang w:val="en-US" w:eastAsia="zh-CN" w:bidi="ar-SA"/>
    </w:rPr>
  </w:style>
  <w:style w:type="paragraph" w:styleId="3">
    <w:name w:val="heading 1"/>
    <w:basedOn w:val="1"/>
    <w:next w:val="1"/>
    <w:link w:val="10"/>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1"/>
    <w:qFormat/>
    <w:uiPriority w:val="0"/>
    <w:pPr>
      <w:keepNext/>
      <w:keepLines/>
      <w:spacing w:before="260" w:after="260" w:line="415" w:lineRule="auto"/>
      <w:outlineLvl w:val="1"/>
    </w:pPr>
    <w:rPr>
      <w:rFonts w:ascii="方正兰亭黑_GBK" w:hAnsi="方正兰亭黑_GBK" w:eastAsia="黑体"/>
      <w:b/>
      <w:bCs/>
      <w:sz w:val="32"/>
      <w:szCs w:val="32"/>
    </w:rPr>
  </w:style>
  <w:style w:type="paragraph" w:styleId="5">
    <w:name w:val="heading 3"/>
    <w:basedOn w:val="1"/>
    <w:next w:val="1"/>
    <w:link w:val="12"/>
    <w:qFormat/>
    <w:uiPriority w:val="0"/>
    <w:pPr>
      <w:spacing w:before="100" w:beforeAutospacing="1" w:after="100" w:afterAutospacing="1"/>
      <w:jc w:val="left"/>
      <w:outlineLvl w:val="2"/>
    </w:pPr>
    <w:rPr>
      <w:rFonts w:ascii="宋体" w:hAnsi="宋体" w:eastAsia="宋体" w:cs="宋体"/>
      <w:b/>
      <w:bCs/>
      <w:kern w:val="0"/>
      <w:sz w:val="27"/>
      <w:szCs w:val="27"/>
      <w:lang w:val="en-US" w:eastAsia="zh-CN"/>
    </w:rPr>
  </w:style>
  <w:style w:type="paragraph" w:styleId="2">
    <w:name w:val="heading 5"/>
    <w:basedOn w:val="1"/>
    <w:next w:val="1"/>
    <w:link w:val="13"/>
    <w:qFormat/>
    <w:uiPriority w:val="0"/>
    <w:pPr>
      <w:keepNext/>
      <w:keepLines/>
      <w:spacing w:before="280" w:after="290" w:line="374" w:lineRule="auto"/>
      <w:outlineLvl w:val="4"/>
    </w:pPr>
    <w:rPr>
      <w:b/>
      <w:bCs/>
      <w:sz w:val="28"/>
      <w:szCs w:val="28"/>
    </w:rPr>
  </w:style>
  <w:style w:type="character" w:default="1" w:styleId="9">
    <w:name w:val="Default Paragraph Font"/>
    <w:qFormat/>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0">
    <w:name w:val="heading 1 Char"/>
    <w:basedOn w:val="9"/>
    <w:link w:val="3"/>
    <w:uiPriority w:val="0"/>
    <w:rPr>
      <w:rFonts w:ascii="Times New Roman" w:hAnsi="Times New Roman" w:eastAsia="仿宋_GB2312" w:cs="Times New Roman"/>
      <w:b/>
      <w:bCs/>
      <w:spacing w:val="-6"/>
      <w:kern w:val="44"/>
      <w:sz w:val="44"/>
      <w:szCs w:val="44"/>
      <w:lang w:val="en-US" w:eastAsia="zh-CN" w:bidi="ar-SA"/>
    </w:rPr>
  </w:style>
  <w:style w:type="character" w:customStyle="1" w:styleId="11">
    <w:name w:val="heading 2 Char"/>
    <w:basedOn w:val="9"/>
    <w:link w:val="4"/>
    <w:uiPriority w:val="0"/>
    <w:rPr>
      <w:rFonts w:ascii="方正兰亭黑_GBK" w:hAnsi="方正兰亭黑_GBK" w:eastAsia="黑体" w:cs="Times New Roman"/>
      <w:b/>
      <w:bCs/>
      <w:spacing w:val="-6"/>
      <w:kern w:val="2"/>
      <w:sz w:val="32"/>
      <w:szCs w:val="32"/>
      <w:lang w:val="en-US" w:eastAsia="zh-CN" w:bidi="ar-SA"/>
    </w:rPr>
  </w:style>
  <w:style w:type="character" w:customStyle="1" w:styleId="12">
    <w:name w:val="heading 3 Char"/>
    <w:basedOn w:val="9"/>
    <w:link w:val="5"/>
    <w:uiPriority w:val="0"/>
    <w:rPr>
      <w:rFonts w:ascii="宋体" w:hAnsi="宋体" w:eastAsia="宋体" w:cs="宋体"/>
      <w:b/>
      <w:bCs/>
      <w:spacing w:val="-6"/>
      <w:kern w:val="0"/>
      <w:sz w:val="27"/>
      <w:szCs w:val="27"/>
      <w:lang w:val="en-US" w:eastAsia="zh-CN" w:bidi="ar-SA"/>
    </w:rPr>
  </w:style>
  <w:style w:type="character" w:customStyle="1" w:styleId="13">
    <w:name w:val="heading 5 Char"/>
    <w:basedOn w:val="9"/>
    <w:link w:val="2"/>
    <w:qFormat/>
    <w:uiPriority w:val="0"/>
    <w:rPr>
      <w:rFonts w:ascii="Times New Roman" w:hAnsi="Times New Roman" w:eastAsia="仿宋_GB2312" w:cs="Times New Roman"/>
      <w:b/>
      <w:bCs/>
      <w:spacing w:val="-6"/>
      <w:kern w:val="2"/>
      <w:sz w:val="28"/>
      <w:szCs w:val="28"/>
      <w:lang w:val="en-US" w:eastAsia="zh-CN" w:bidi="ar-SA"/>
    </w:rPr>
  </w:style>
  <w:style w:type="character" w:customStyle="1" w:styleId="14">
    <w:name w:val="font81"/>
    <w:basedOn w:val="9"/>
    <w:qFormat/>
    <w:uiPriority w:val="0"/>
    <w:rPr>
      <w:rFonts w:ascii="Calibri" w:hAnsi="Calibri" w:cs="Calibri"/>
      <w:color w:val="000000"/>
      <w:sz w:val="20"/>
      <w:szCs w:val="20"/>
      <w:u w:val="none"/>
    </w:rPr>
  </w:style>
  <w:style w:type="character" w:customStyle="1" w:styleId="15">
    <w:name w:val="font51"/>
    <w:basedOn w:val="9"/>
    <w:qFormat/>
    <w:uiPriority w:val="0"/>
    <w:rPr>
      <w:rFonts w:ascii="黑体" w:hAnsi="宋体" w:eastAsia="黑体" w:cs="黑体"/>
      <w:color w:val="000000"/>
      <w:sz w:val="32"/>
      <w:szCs w:val="32"/>
      <w:u w:val="none"/>
    </w:rPr>
  </w:style>
  <w:style w:type="character" w:customStyle="1" w:styleId="16">
    <w:name w:val="font61"/>
    <w:basedOn w:val="9"/>
    <w:qFormat/>
    <w:uiPriority w:val="0"/>
    <w:rPr>
      <w:rFonts w:ascii="Times New Roman" w:hAnsi="Times New Roman" w:cs="Times New Roman"/>
      <w:color w:val="000000"/>
      <w:sz w:val="20"/>
      <w:szCs w:val="20"/>
      <w:u w:val="none"/>
    </w:rPr>
  </w:style>
  <w:style w:type="character" w:customStyle="1" w:styleId="17">
    <w:name w:val="font01"/>
    <w:basedOn w:val="9"/>
    <w:qFormat/>
    <w:uiPriority w:val="0"/>
    <w:rPr>
      <w:rFonts w:ascii="仿宋" w:hAnsi="仿宋" w:eastAsia="仿宋" w:cs="仿宋"/>
      <w:color w:val="000000"/>
      <w:sz w:val="22"/>
      <w:szCs w:val="22"/>
      <w:u w:val="none"/>
    </w:rPr>
  </w:style>
  <w:style w:type="character" w:customStyle="1" w:styleId="18">
    <w:name w:val="font71"/>
    <w:basedOn w:val="9"/>
    <w:qFormat/>
    <w:uiPriority w:val="0"/>
    <w:rPr>
      <w:rFonts w:ascii="Times New Roman" w:hAnsi="Times New Roman" w:cs="Times New Roman"/>
      <w:color w:val="000000"/>
      <w:sz w:val="20"/>
      <w:szCs w:val="20"/>
      <w:u w:val="none"/>
    </w:rPr>
  </w:style>
  <w:style w:type="character" w:customStyle="1" w:styleId="19">
    <w:name w:val="font101"/>
    <w:basedOn w:val="9"/>
    <w:qFormat/>
    <w:uiPriority w:val="0"/>
    <w:rPr>
      <w:rFonts w:ascii="Calibri" w:hAnsi="Calibri" w:cs="Calibri"/>
      <w:color w:val="000000"/>
      <w:sz w:val="20"/>
      <w:szCs w:val="20"/>
      <w:u w:val="none"/>
    </w:rPr>
  </w:style>
  <w:style w:type="character" w:customStyle="1" w:styleId="20">
    <w:name w:val="font31"/>
    <w:basedOn w:val="9"/>
    <w:qFormat/>
    <w:uiPriority w:val="0"/>
    <w:rPr>
      <w:rFonts w:ascii="Times New Roman" w:hAnsi="Times New Roman" w:cs="Times New Roman"/>
      <w:color w:val="000000"/>
      <w:sz w:val="20"/>
      <w:szCs w:val="20"/>
      <w:u w:val="none"/>
    </w:rPr>
  </w:style>
  <w:style w:type="character" w:customStyle="1" w:styleId="21">
    <w:name w:val="font41"/>
    <w:basedOn w:val="9"/>
    <w:qFormat/>
    <w:uiPriority w:val="0"/>
    <w:rPr>
      <w:rFonts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26650 1 1 1 1 1"/>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86B479-D0C0-446C-A68A-3B6777F89ED3}">
  <ds:schemaRefs/>
</ds:datastoreItem>
</file>

<file path=docProps/app.xml><?xml version="1.0" encoding="utf-8"?>
<Properties xmlns="http://schemas.openxmlformats.org/officeDocument/2006/extended-properties" xmlns:vt="http://schemas.openxmlformats.org/officeDocument/2006/docPropsVTypes">
  <Template>Normal.eit</Template>
  <Pages>10</Pages>
  <Words>0</Words>
  <Characters>4117</Characters>
  <Lines>0</Lines>
  <Paragraphs>5</Paragraphs>
  <TotalTime>2</TotalTime>
  <ScaleCrop>false</ScaleCrop>
  <LinksUpToDate>false</LinksUpToDate>
  <CharactersWithSpaces>5490</CharactersWithSpaces>
  <Application>WPS Office_11.1.0.9021_F1E327BC-269C-435d-A152-05C5408002CA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2025-12-15T14:51:00Z</dcterms:created>
  <dc:creator>kylin</dc:creator>
  <cp:lastModifiedBy>I</cp:lastModifiedBy>
  <dcterms:modified xsi:type="dcterms:W3CDTF">2025-12-26T10:38:10Z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876A686554BBCD370DB03F69FAE943BE</vt:lpwstr>
  </property>
  <property fmtid="{D5CDD505-2E9C-101B-9397-08002B2CF9AE}" pid="4" name="KSOTemplateDocerSaveRecord">
    <vt:lpwstr>eyJoZGlkIjoiNWU1ODZmZTkwOWVlNGE0NmNhODY4Y2U1YzYzNTkzMTgiLCJ1c2VySWQiOiIzNjc0MDE1MDQifQ==</vt:lpwstr>
  </property>
</Properties>
</file>