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val="0"/>
        <w:overflowPunct w:val="0"/>
        <w:spacing w:line="360" w:lineRule="exact"/>
        <w:jc w:val="center"/>
        <w:rPr>
          <w:rFonts w:hint="default" w:ascii="Times New Roman" w:hAnsi="Times New Roman" w:eastAsia="方正小标宋_GBK" w:cs="Times New Roman"/>
          <w:b w:val="0"/>
          <w:bCs w:val="0"/>
          <w:sz w:val="36"/>
          <w:szCs w:val="36"/>
          <w:lang w:val="en-US" w:eastAsia="zh-CN"/>
        </w:rPr>
      </w:pPr>
      <w:r>
        <w:rPr>
          <w:rFonts w:hint="eastAsia" w:eastAsia="方正小标宋_GBK" w:cs="Times New Roman"/>
          <w:b w:val="0"/>
          <w:bCs w:val="0"/>
          <w:sz w:val="36"/>
          <w:szCs w:val="36"/>
          <w:lang w:val="en-US" w:eastAsia="zh-CN"/>
        </w:rPr>
        <w:t>沅陵县审计局</w:t>
      </w:r>
      <w:r>
        <w:rPr>
          <w:rFonts w:hint="default" w:ascii="Times New Roman" w:hAnsi="Times New Roman" w:eastAsia="方正小标宋_GBK" w:cs="Times New Roman"/>
          <w:b w:val="0"/>
          <w:bCs w:val="0"/>
          <w:sz w:val="36"/>
          <w:szCs w:val="36"/>
          <w:lang w:val="en-US" w:eastAsia="zh-CN"/>
        </w:rPr>
        <w:t>政府信息主动公开事项目录</w:t>
      </w:r>
    </w:p>
    <w:p>
      <w:pPr>
        <w:spacing w:line="360" w:lineRule="exact"/>
        <w:jc w:val="center"/>
        <w:rPr>
          <w:rFonts w:hint="default" w:ascii="Times New Roman" w:hAnsi="Times New Roman" w:eastAsia="楷体" w:cs="Times New Roman"/>
          <w:b/>
          <w:bCs/>
          <w:kern w:val="2"/>
          <w:sz w:val="28"/>
          <w:szCs w:val="28"/>
          <w:lang w:val="en-US" w:eastAsia="zh-CN" w:bidi="ar-SA"/>
        </w:rPr>
      </w:pPr>
      <w:r>
        <w:rPr>
          <w:rFonts w:hint="default" w:ascii="Times New Roman" w:hAnsi="Times New Roman" w:eastAsia="楷体" w:cs="Times New Roman"/>
          <w:b/>
          <w:bCs/>
          <w:kern w:val="2"/>
          <w:sz w:val="28"/>
          <w:szCs w:val="28"/>
          <w:lang w:val="en-US" w:eastAsia="zh-CN" w:bidi="ar-SA"/>
        </w:rPr>
        <w:t>公开主体：</w:t>
      </w:r>
      <w:r>
        <w:rPr>
          <w:rFonts w:hint="eastAsia" w:eastAsia="楷体" w:cs="Times New Roman"/>
          <w:b/>
          <w:bCs/>
          <w:kern w:val="2"/>
          <w:sz w:val="28"/>
          <w:szCs w:val="28"/>
          <w:lang w:val="en-US" w:eastAsia="zh-CN" w:bidi="ar-SA"/>
        </w:rPr>
        <w:t>沅陵县</w:t>
      </w:r>
      <w:r>
        <w:rPr>
          <w:rFonts w:hint="default" w:ascii="Times New Roman" w:hAnsi="Times New Roman" w:eastAsia="楷体" w:cs="Times New Roman"/>
          <w:b/>
          <w:bCs/>
          <w:kern w:val="2"/>
          <w:sz w:val="28"/>
          <w:szCs w:val="28"/>
          <w:lang w:val="en-US" w:eastAsia="zh-CN" w:bidi="ar-SA"/>
        </w:rPr>
        <w:t>审计</w:t>
      </w:r>
      <w:r>
        <w:rPr>
          <w:rFonts w:hint="eastAsia" w:eastAsia="楷体" w:cs="Times New Roman"/>
          <w:b/>
          <w:bCs/>
          <w:kern w:val="2"/>
          <w:sz w:val="28"/>
          <w:szCs w:val="28"/>
          <w:lang w:val="en-US" w:eastAsia="zh-CN" w:bidi="ar-SA"/>
        </w:rPr>
        <w:t>局</w:t>
      </w:r>
    </w:p>
    <w:tbl>
      <w:tblPr>
        <w:tblStyle w:val="3"/>
        <w:tblW w:w="14163"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2"/>
        <w:gridCol w:w="1020"/>
        <w:gridCol w:w="1065"/>
        <w:gridCol w:w="1665"/>
        <w:gridCol w:w="4260"/>
        <w:gridCol w:w="1155"/>
        <w:gridCol w:w="1785"/>
        <w:gridCol w:w="1275"/>
        <w:gridCol w:w="12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0" w:hRule="atLeast"/>
          <w:tblHeader/>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序号</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事项类别</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事项名称</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公开内容</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公开依据</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公开渠道</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公开时限</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公开责任</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auto"/>
                <w:kern w:val="0"/>
                <w:sz w:val="21"/>
                <w:szCs w:val="21"/>
                <w:u w:val="none"/>
                <w:lang w:val="en-US" w:eastAsia="zh-CN" w:bidi="ar"/>
              </w:rPr>
            </w:pPr>
            <w:r>
              <w:rPr>
                <w:rFonts w:hint="default" w:ascii="Times New Roman" w:hAnsi="Times New Roman" w:eastAsia="黑体" w:cs="Times New Roman"/>
                <w:i w:val="0"/>
                <w:iCs w:val="0"/>
                <w:color w:val="auto"/>
                <w:kern w:val="0"/>
                <w:sz w:val="21"/>
                <w:szCs w:val="21"/>
                <w:u w:val="none"/>
                <w:lang w:val="en-US" w:eastAsia="zh-CN" w:bidi="ar"/>
              </w:rPr>
              <w:t>链接地址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28"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1</w:t>
            </w:r>
          </w:p>
        </w:tc>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政策文件</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行政规范性文件</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行政规范性文件</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《中华人民共和国政府信息公开条例》（国务院令第711号）第二十条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自该政府信息形成或者变更之日起20个工作日内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eastAsia" w:eastAsia="方正仿宋_GBK" w:cs="Times New Roman"/>
                <w:i w:val="0"/>
                <w:iCs w:val="0"/>
                <w:color w:val="auto"/>
                <w:sz w:val="20"/>
                <w:szCs w:val="20"/>
                <w:u w:val="none"/>
                <w:lang w:val="en-US" w:eastAsia="zh-CN"/>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rPr>
              <w:t>https://www.yuanling.gov.cn/yuanling/c108858/zfxxgkMultiList.shtml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094"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其他政策文件</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除行政规范性文件以外的其他可以公开的文件</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《中华人民共和国政府信息公开条例》（国务院令第711号）第二十条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自该政府信息形成或者变更之日起20个工作日内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lang w:val="en-US" w:eastAsia="zh-CN"/>
              </w:rPr>
              <w:t>http://www.yuanling.gov.cn/yuanling/c118907/list2020.shtml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130"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2</w:t>
            </w:r>
          </w:p>
        </w:tc>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机构概况</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领导信息</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单位负责人姓名、职务、主管或分管工作等</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《中华人民共和国政府信息公开条例》（国务院令第711号）第二十条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自该政府信息形成或者变更之日起20个工作日内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lang w:val="en-US" w:eastAsia="zh-CN"/>
              </w:rPr>
              <w:t>http://www.yuanling.gov.cn/yuanling/c118906/bmxz_jgzn.shtml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286"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机构信息</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依据三定方案确定的机关职能，以及机构设置、办公地址、办公时间、联系方式等</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《中华人民共和国政府信息公开条例》（国务院令第711号）第二十条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自该政府信息形成或者变更之日起20个工作日内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lang w:val="en-US" w:eastAsia="zh-CN"/>
              </w:rPr>
              <w:t>http://www.yuanling.gov.cn/yuanling/c118906/bmxz_jgzn.shtml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540"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3</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规划计划</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规划计划</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 xml:space="preserve"> 涉及审计业务职能的中长期计划、年度工作计划信息、计划执行情况</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《中华人民共和国政府信息公开条例》（国务院令第711号）第二十条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自该政府信息形成或者变更之日起20个工作日内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center" w:pos="529"/>
              </w:tabs>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lang w:val="en-US" w:eastAsia="zh-CN"/>
              </w:rPr>
              <w:t>http://www.yuanling.gov.cn/yuanling/c118910/list2020.shtml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425"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政务服务</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审计领域政务服务事项信息</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审计领域办理行政许可和其他对外管理服务事项目录，行使事项的依据、条件、程序以及办理结果</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行政许可法》第三十条；《中华人民共和国政府信息公开条例》（国务院令第711号）第二十条；《国务院办公厅关于全面实行行政许可事项清单管理的通知》（国办发〔2022〕2号）第（八）条；《国务院关于建立完善守信联合激励和失信联合惩戒制度加快推进社会诚信建设的指导意见》（国发〔2016〕33号）第（十七）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自该政府信息形成或者变更之日起20个工作日内；行政许可自决定之日起7个工作日内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rPr>
              <w:t>http://zwfw-new.hunan.gov.cn/onething/service/index.jsp?type=xndtgr&amp;main=1&amp;areacode=431222999000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691"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行政处罚</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审计领域行政处罚信息</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审计领域实施行政处罚的依据、条件、程序以及本行政机关认为具有一定社会影响的行政处罚决定</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《中华人民共和国行政处罚法》第五条</w:t>
            </w:r>
            <w:r>
              <w:rPr>
                <w:rFonts w:hint="default" w:ascii="Times New Roman" w:hAnsi="Times New Roman" w:eastAsia="方正仿宋_GBK" w:cs="Times New Roman"/>
                <w:snapToGrid w:val="0"/>
                <w:kern w:val="21"/>
                <w:sz w:val="20"/>
                <w:szCs w:val="20"/>
                <w:lang w:val="en-US" w:eastAsia="zh-CN"/>
              </w:rPr>
              <w:t>、第四十八条</w:t>
            </w:r>
            <w:r>
              <w:rPr>
                <w:rFonts w:hint="default" w:ascii="Times New Roman" w:hAnsi="Times New Roman" w:eastAsia="方正仿宋_GBK" w:cs="Times New Roman"/>
                <w:i w:val="0"/>
                <w:iCs w:val="0"/>
                <w:color w:val="000000"/>
                <w:sz w:val="20"/>
                <w:szCs w:val="20"/>
                <w:u w:val="none"/>
                <w:lang w:val="en-US" w:eastAsia="zh-CN"/>
              </w:rPr>
              <w:t>；《中华人民共和国政府信息公开条例》（国务院令第711号）第二十条；《国务院关于建立完善守信联合激励和失信联合惩戒制度加快推进社会诚信建设的指导意见》（国发〔2016〕33号）第（十七）条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自该政府信息形成或者变更之日起20个工作日内；行政处罚自决定之日起7个工作日内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法制与审计执行股</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rPr>
              <w:t>https://www.yuanling.gov.cn/yuanling/c119574/zfxxgkIframeMultiList.shtml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134"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6</w:t>
            </w:r>
          </w:p>
        </w:tc>
        <w:tc>
          <w:tcPr>
            <w:tcW w:w="10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财政预算、决算</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预算、决算</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部门预算、决算及执行情况</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《中华人民共和国预算法》 第十四条；《中华人民共和国预算法实施条例》第六条；《中华人民共和国政府信息公开条例》（国务院令第711号）第二十条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rPr>
              <w:t>批准（批复）后20日内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财务室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831"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“三公”经费</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“三公”经费财政拨款预算总额和分项数额，对增减变化的原因说明</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《中华人民共和国预算法》 第十四条；《中华人民共和国预算法实施条例》第六条；《中华人民共和国政府信息公开条例》（国务院令第711号）第二十条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rPr>
              <w:t>批准（批复）后20日内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财务室</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pacing w:val="-6"/>
                <w:kern w:val="2"/>
                <w:sz w:val="20"/>
                <w:szCs w:val="20"/>
                <w:u w:val="none"/>
                <w:lang w:val="en-US" w:eastAsia="zh-CN" w:bidi="ar-SA"/>
              </w:rPr>
            </w:pPr>
            <w:r>
              <w:rPr>
                <w:rFonts w:hint="default"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519"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p>
        </w:tc>
        <w:tc>
          <w:tcPr>
            <w:tcW w:w="10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绩效评价</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按要求将项目支出绩效评价结果编入预算并公开</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《财政部关于印发&lt;项目支出绩效评价管理办法&gt;的通知》（财预〔2020〕10号）第二十八条；《湖南省财政厅关于印发&lt;湖南省预算支出绩效评价管理办法&gt;的通知》（湘财绩〔2020〕7号）第四十二条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自该政府信息形成或者变更之日起20个工作日内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财务室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334"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政府采购</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政府集中采购项目的实施情况</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包括采购项目公告、采购文件、采购项目预算金额、采购结果、采购合同等信息</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baseline"/>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政府采购法》第六十三条；《中华人民共和国预算法》第十四条；《中华人民共和国政府信息公开条例》（国务院令第711号）第二十条；《国务院办公厅关于推进公共资源配置领域政府信息公开的意见》（国办发〔2017〕97号）第二部分第（一）条第4点</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自该政府信息形成或者变更之日起20个工作日内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rPr>
              <w:t>http://www.yuanling.gov.cn/yuanling/c109038/zfxxgkMultiList.shtml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0"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应急管理</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突发公共事件的应急预案、预警信息及应对情况</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审计领域突发公共事件应急预案，发布的预警信息和事件应对情况</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《中华人民共和国政府信息公开条例》（国务院令第711号）第二十条；《国务院办公厅关于印发&lt;突发事件应急预案管理办法&gt;的通知》（国办发〔2024〕5号）第二十八条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自该政府信息形成或者变更之日起20个工作日内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rPr>
              <w:t>http://www.yuanling.gov.cn/yuanling/c108888/zfxxgkMultiList.shtml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115"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建议提案</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人大代表建议和政协提案办理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对涉及公共利益、公众权益、社会关切及需要社会广泛知晓的省人大代表建议、省政协提案及其答复意见经审查可以公开的</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baseline"/>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华人民共和国全国人民代表大会和地方各级人民代表大会代表法》第五十一条；《中国人民政治协商会议全国委员会提案工作条例》第二十三条；《湖南省人民政府办公厅关于印发〈省人大代表建议和省政协提案办理工作规定〉的通知》（湘政办发〔2017〕41号）第十三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snapToGrid w:val="0"/>
                <w:kern w:val="21"/>
                <w:sz w:val="20"/>
                <w:szCs w:val="20"/>
                <w:lang w:val="en-US" w:eastAsia="zh-CN"/>
              </w:rPr>
              <w:t>自该政府信息形成或者变更之日起20个工作日内；省人大代表建议和省政协提案在答复代表和提案者后一个月内开</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建议提案办理部门</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eastAsia" w:eastAsia="方正仿宋_GBK" w:cs="Times New Roman"/>
                <w:i w:val="0"/>
                <w:iCs w:val="0"/>
                <w:color w:val="auto"/>
                <w:sz w:val="20"/>
                <w:szCs w:val="20"/>
                <w:u w:val="none"/>
                <w:lang w:eastAsia="zh-CN"/>
              </w:rPr>
              <w:t>https://www.yuanling.gov.cn/yuanling/c138710/zfxxgkList.shtml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771" w:hRule="atLeast"/>
          <w:jc w:val="center"/>
        </w:trPr>
        <w:tc>
          <w:tcPr>
            <w:tcW w:w="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10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法治政府建设年度报告</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法治政府建设年度报告</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baseline"/>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上一年度推进法治政府建设的主要举措和成效、存在的不足和原因，党政主要负责人履行推进法治建设第一责任人职责，加强法治政府建设的有关情况；下一年度推进法治政府建设的主要安排；其他需要报告的情况</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中共中央办公厅 国务院办公厅印发《法治政府建设与责任落实督察工作规定》第二十四条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default" w:ascii="Times New Roman" w:hAnsi="Times New Roman" w:eastAsia="方正仿宋_GBK" w:cs="Times New Roman"/>
                <w:i w:val="0"/>
                <w:iCs w:val="0"/>
                <w:color w:val="000000"/>
                <w:sz w:val="20"/>
                <w:szCs w:val="20"/>
                <w:u w:val="none"/>
                <w:lang w:val="en-US" w:eastAsia="zh-CN"/>
              </w:rPr>
              <w:t>每年4月1日之前</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lang w:val="en-US" w:eastAsia="zh-CN"/>
              </w:rPr>
            </w:pPr>
            <w:r>
              <w:rPr>
                <w:rFonts w:hint="eastAsia" w:eastAsia="方正仿宋_GBK" w:cs="Times New Roman"/>
                <w:i w:val="0"/>
                <w:iCs w:val="0"/>
                <w:color w:val="000000"/>
                <w:sz w:val="20"/>
                <w:szCs w:val="20"/>
                <w:u w:val="none"/>
                <w:lang w:val="en-US" w:eastAsia="zh-CN"/>
              </w:rPr>
              <w:t>法制与审计执行股</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lang w:val="en-US" w:eastAsia="zh-CN"/>
              </w:rPr>
            </w:pPr>
            <w:r>
              <w:rPr>
                <w:rFonts w:hint="default" w:ascii="Times New Roman" w:hAnsi="Times New Roman" w:eastAsia="方正仿宋_GBK" w:cs="Times New Roman"/>
                <w:i w:val="0"/>
                <w:iCs w:val="0"/>
                <w:color w:val="auto"/>
                <w:sz w:val="20"/>
                <w:szCs w:val="20"/>
                <w:u w:val="none"/>
                <w:lang w:val="en-US" w:eastAsia="zh-CN"/>
              </w:rPr>
              <w:t>http://www.yuanling.gov.cn/yuanling/c118907/list2020.shtml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086"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1</w:t>
            </w:r>
            <w:r>
              <w:rPr>
                <w:rFonts w:hint="eastAsia" w:eastAsia="方正仿宋_GBK" w:cs="Times New Roman"/>
                <w:i w:val="0"/>
                <w:iCs w:val="0"/>
                <w:color w:val="000000"/>
                <w:kern w:val="0"/>
                <w:sz w:val="20"/>
                <w:szCs w:val="20"/>
                <w:u w:val="none"/>
                <w:lang w:val="en-US" w:eastAsia="zh-CN" w:bidi="ar"/>
              </w:rPr>
              <w:t>1</w:t>
            </w:r>
            <w:bookmarkStart w:id="0" w:name="_GoBack"/>
            <w:bookmarkEnd w:id="0"/>
          </w:p>
        </w:tc>
        <w:tc>
          <w:tcPr>
            <w:tcW w:w="1020" w:type="dxa"/>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政府信息公开</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政府信息公开指南</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政府信息主动公开、依申请公开有关情况，不予公开的内容，政府信息公开工作机构的名称、办公地址、办公时间、联系电话、传真号码、互联网联系方式等</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《中华人民共和国政府信息公开条例》（国务院令第711号）第十二条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eastAsia" w:eastAsia="方正仿宋_GBK" w:cs="Times New Roman"/>
                <w:i w:val="0"/>
                <w:iCs w:val="0"/>
                <w:color w:val="000000"/>
                <w:kern w:val="0"/>
                <w:sz w:val="20"/>
                <w:szCs w:val="20"/>
                <w:u w:val="none"/>
                <w:lang w:val="en-US" w:eastAsia="zh-CN" w:bidi="ar"/>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http://www.yuanling.gov.cn/yuanling/c118911/singleArticle2020.shtml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59"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0"/>
                <w:szCs w:val="20"/>
                <w:u w:val="none"/>
                <w:lang w:val="en-US" w:eastAsia="zh-CN" w:bidi="ar"/>
              </w:rPr>
            </w:pPr>
          </w:p>
        </w:tc>
        <w:tc>
          <w:tcPr>
            <w:tcW w:w="1020"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kern w:val="0"/>
                <w:sz w:val="20"/>
                <w:szCs w:val="20"/>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政府信息公开目录</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政府信息主动公开事项目录</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《中华人民共和国政府信息公开条例》（国务院令第711号）第十二条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eastAsia" w:eastAsia="方正仿宋_GBK" w:cs="Times New Roman"/>
                <w:i w:val="0"/>
                <w:iCs w:val="0"/>
                <w:color w:val="000000"/>
                <w:kern w:val="0"/>
                <w:sz w:val="20"/>
                <w:szCs w:val="20"/>
                <w:u w:val="none"/>
                <w:lang w:val="en-US" w:eastAsia="zh-CN" w:bidi="ar"/>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eastAsia" w:eastAsia="方正仿宋_GBK" w:cs="Times New Roman"/>
                <w:i w:val="0"/>
                <w:iCs w:val="0"/>
                <w:color w:val="auto"/>
                <w:sz w:val="20"/>
                <w:szCs w:val="20"/>
                <w:u w:val="none"/>
                <w:lang w:eastAsia="zh-CN"/>
              </w:rPr>
              <w:t>https://www.yuanling.gov.cn/yuanling/c138687/fulllist.shtml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0"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0"/>
                <w:szCs w:val="20"/>
                <w:u w:val="none"/>
                <w:lang w:val="en-US" w:eastAsia="zh-CN" w:bidi="ar"/>
              </w:rPr>
            </w:pPr>
          </w:p>
        </w:tc>
        <w:tc>
          <w:tcPr>
            <w:tcW w:w="1020"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kern w:val="0"/>
                <w:sz w:val="20"/>
                <w:szCs w:val="20"/>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政府信息公开工作年度报告</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政府信息公开工作年度报告</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《中华人民共和国政府信息公开条例》（国务院令第711号）第四十九条</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每年1月31日前向社会公布</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eastAsia" w:eastAsia="方正仿宋_GBK" w:cs="Times New Roman"/>
                <w:i w:val="0"/>
                <w:iCs w:val="0"/>
                <w:color w:val="000000"/>
                <w:kern w:val="0"/>
                <w:sz w:val="20"/>
                <w:szCs w:val="20"/>
                <w:u w:val="none"/>
                <w:lang w:val="en-US" w:eastAsia="zh-CN" w:bidi="ar"/>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kern w:val="0"/>
                <w:sz w:val="20"/>
                <w:szCs w:val="20"/>
                <w:u w:val="none"/>
                <w:lang w:val="en-US" w:eastAsia="zh-CN" w:bidi="ar"/>
              </w:rPr>
              <w:t>http://www.yuanling.gov.cn/yuanling/c118912/list2020.shtml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720"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kern w:val="0"/>
                <w:sz w:val="20"/>
                <w:szCs w:val="20"/>
                <w:u w:val="none"/>
                <w:lang w:val="en-US" w:eastAsia="zh-CN" w:bidi="ar"/>
              </w:rPr>
            </w:pPr>
          </w:p>
        </w:tc>
        <w:tc>
          <w:tcPr>
            <w:tcW w:w="1020"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kern w:val="0"/>
                <w:sz w:val="20"/>
                <w:szCs w:val="20"/>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政府信息公开工作制度</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包括《中华人民共和国政府信息公开条例》，政府信息公开方面的地方性法规、自治条例、单行条例、规章，以及全国政府信息公开工作主管部门发布的法规解释性文件，原则上不包括其他制度文件</w:t>
            </w:r>
          </w:p>
        </w:tc>
        <w:tc>
          <w:tcPr>
            <w:tcW w:w="42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《国务院办公厅政府信息与政务公开办公室关于规范政府信息公开平台有关事项的通知》（国办公开办函〔2019〕61号）第二部分</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eastAsia" w:eastAsia="方正仿宋_GBK" w:cs="Times New Roman"/>
                <w:i w:val="0"/>
                <w:iCs w:val="0"/>
                <w:color w:val="000000"/>
                <w:kern w:val="0"/>
                <w:sz w:val="20"/>
                <w:szCs w:val="20"/>
                <w:u w:val="none"/>
                <w:lang w:val="en-US" w:eastAsia="zh-CN" w:bidi="ar"/>
              </w:rPr>
              <w:t>办公室</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kern w:val="0"/>
                <w:sz w:val="20"/>
                <w:szCs w:val="20"/>
                <w:u w:val="none"/>
                <w:lang w:val="en-US" w:eastAsia="zh-CN" w:bidi="ar"/>
              </w:rPr>
            </w:pPr>
            <w:r>
              <w:rPr>
                <w:rFonts w:hint="default" w:ascii="Times New Roman" w:hAnsi="Times New Roman" w:eastAsia="方正仿宋_GBK" w:cs="Times New Roman"/>
                <w:i w:val="0"/>
                <w:iCs w:val="0"/>
                <w:color w:val="auto"/>
                <w:sz w:val="20"/>
                <w:szCs w:val="20"/>
                <w:u w:val="none"/>
              </w:rPr>
              <w:t>http://www.yuanling.gov.cn/yuanling/c119577/zfxxgkList.shtml</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B1F55"/>
    <w:rsid w:val="07BF5055"/>
    <w:rsid w:val="430B5DB7"/>
    <w:rsid w:val="4C462928"/>
    <w:rsid w:val="533F6E7B"/>
    <w:rsid w:val="5A131DB9"/>
    <w:rsid w:val="766E3E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2">
    <w:name w:val="heading 5"/>
    <w:basedOn w:val="1"/>
    <w:next w:val="1"/>
    <w:qFormat/>
    <w:uiPriority w:val="0"/>
    <w:pPr>
      <w:keepNext/>
      <w:keepLines/>
      <w:spacing w:before="280" w:after="290" w:line="374" w:lineRule="auto"/>
      <w:outlineLvl w:val="4"/>
    </w:pPr>
    <w:rPr>
      <w:b/>
      <w:bCs/>
      <w:sz w:val="28"/>
      <w:szCs w:val="28"/>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7</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2025-12-25T07:09:00Z</dcterms:created>
  <dc:creator>Administrator</dc:creator>
  <cp:lastModifiedBy>I</cp:lastModifiedBy>
  <dcterms:modified xsi:type="dcterms:W3CDTF">2025-12-25T13:06:15Z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KSOTemplateDocerSaveRecord">
    <vt:lpwstr>eyJoZGlkIjoiOGJiZjc4ODliZTc5MjMxODE3NmRlZTc1NjMzYjk1ZGYiLCJ1c2VySWQiOiIxNTY5NDcwNTc2In0=</vt:lpwstr>
  </property>
  <property fmtid="{D5CDD505-2E9C-101B-9397-08002B2CF9AE}" pid="4" name="ICV">
    <vt:lpwstr>0562E12D244C4679A2CAD64EBFB5DA6B_12</vt:lpwstr>
  </property>
</Properties>
</file>