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val="0"/>
        <w:overflowPunct w:val="0"/>
        <w:spacing w:line="360" w:lineRule="exact"/>
        <w:jc w:val="center"/>
        <w:rPr>
          <w:rFonts w:hint="default" w:ascii="Times New Roman" w:hAnsi="Times New Roman" w:eastAsia="方正小标宋_GBK" w:cs="Times New Roman"/>
          <w:b w:val="0"/>
          <w:bCs w:val="0"/>
          <w:sz w:val="36"/>
          <w:szCs w:val="36"/>
          <w:lang w:val="en-US" w:eastAsia="zh-CN"/>
        </w:rPr>
      </w:pPr>
      <w:r>
        <w:rPr>
          <w:rFonts w:hint="eastAsia" w:eastAsia="方正小标宋_GBK" w:cs="Times New Roman"/>
          <w:b w:val="0"/>
          <w:bCs w:val="0"/>
          <w:sz w:val="36"/>
          <w:szCs w:val="36"/>
          <w:lang w:val="en-US" w:eastAsia="zh-CN"/>
        </w:rPr>
        <w:t>沅陵县</w:t>
      </w:r>
      <w:r>
        <w:rPr>
          <w:rFonts w:hint="default" w:ascii="Times New Roman" w:hAnsi="Times New Roman" w:eastAsia="方正小标宋_GBK" w:cs="Times New Roman"/>
          <w:b w:val="0"/>
          <w:bCs w:val="0"/>
          <w:sz w:val="36"/>
          <w:szCs w:val="36"/>
          <w:lang w:val="en-US" w:eastAsia="zh-CN"/>
        </w:rPr>
        <w:t>住房和城乡建设</w:t>
      </w:r>
      <w:r>
        <w:rPr>
          <w:rFonts w:hint="eastAsia" w:eastAsia="方正小标宋_GBK" w:cs="Times New Roman"/>
          <w:b w:val="0"/>
          <w:bCs w:val="0"/>
          <w:sz w:val="36"/>
          <w:szCs w:val="36"/>
          <w:lang w:val="en-US" w:eastAsia="zh-CN"/>
        </w:rPr>
        <w:t>局</w:t>
      </w:r>
      <w:r>
        <w:rPr>
          <w:rFonts w:hint="default" w:ascii="Times New Roman" w:hAnsi="Times New Roman" w:eastAsia="方正小标宋_GBK" w:cs="Times New Roman"/>
          <w:b w:val="0"/>
          <w:bCs w:val="0"/>
          <w:sz w:val="36"/>
          <w:szCs w:val="36"/>
          <w:lang w:val="en-US" w:eastAsia="zh-CN"/>
        </w:rPr>
        <w:t>政府信息主动公开事项目录</w:t>
      </w:r>
    </w:p>
    <w:p>
      <w:pPr>
        <w:spacing w:line="360" w:lineRule="exact"/>
        <w:jc w:val="center"/>
        <w:rPr>
          <w:rFonts w:hint="default" w:ascii="Times New Roman" w:hAnsi="Times New Roman" w:eastAsia="楷体" w:cs="Times New Roman"/>
          <w:b/>
          <w:bCs/>
          <w:kern w:val="2"/>
          <w:sz w:val="28"/>
          <w:szCs w:val="28"/>
          <w:lang w:val="en-US" w:eastAsia="zh-CN" w:bidi="ar-SA"/>
        </w:rPr>
      </w:pPr>
      <w:r>
        <w:rPr>
          <w:rFonts w:hint="default" w:ascii="Times New Roman" w:hAnsi="Times New Roman" w:eastAsia="楷体" w:cs="Times New Roman"/>
          <w:b/>
          <w:bCs/>
          <w:kern w:val="2"/>
          <w:sz w:val="28"/>
          <w:szCs w:val="28"/>
          <w:lang w:val="en-US" w:eastAsia="zh-CN" w:bidi="ar-SA"/>
        </w:rPr>
        <w:t>公开主体：</w:t>
      </w:r>
      <w:r>
        <w:rPr>
          <w:rFonts w:hint="eastAsia" w:eastAsia="楷体" w:cs="Times New Roman"/>
          <w:b/>
          <w:bCs/>
          <w:kern w:val="2"/>
          <w:sz w:val="28"/>
          <w:szCs w:val="28"/>
          <w:lang w:val="en-US" w:eastAsia="zh-CN" w:bidi="ar-SA"/>
        </w:rPr>
        <w:t>沅陵县</w:t>
      </w:r>
      <w:r>
        <w:rPr>
          <w:rFonts w:hint="default" w:ascii="Times New Roman" w:hAnsi="Times New Roman" w:eastAsia="楷体" w:cs="Times New Roman"/>
          <w:b/>
          <w:bCs/>
          <w:kern w:val="2"/>
          <w:sz w:val="28"/>
          <w:szCs w:val="28"/>
          <w:lang w:val="en-US" w:eastAsia="zh-CN" w:bidi="ar-SA"/>
        </w:rPr>
        <w:t>住房和城乡建设</w:t>
      </w:r>
      <w:r>
        <w:rPr>
          <w:rFonts w:hint="eastAsia" w:eastAsia="楷体" w:cs="Times New Roman"/>
          <w:b/>
          <w:bCs/>
          <w:kern w:val="2"/>
          <w:sz w:val="28"/>
          <w:szCs w:val="28"/>
          <w:lang w:val="en-US" w:eastAsia="zh-CN" w:bidi="ar-SA"/>
        </w:rPr>
        <w:t>局</w:t>
      </w:r>
    </w:p>
    <w:tbl>
      <w:tblPr>
        <w:tblStyle w:val="3"/>
        <w:tblW w:w="14831"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95"/>
        <w:gridCol w:w="1104"/>
        <w:gridCol w:w="1224"/>
        <w:gridCol w:w="1569"/>
        <w:gridCol w:w="3069"/>
        <w:gridCol w:w="1414"/>
        <w:gridCol w:w="2000"/>
        <w:gridCol w:w="1155"/>
        <w:gridCol w:w="1802"/>
        <w:gridCol w:w="89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90" w:hRule="atLeast"/>
          <w:tblHeader/>
          <w:jc w:val="center"/>
        </w:trPr>
        <w:tc>
          <w:tcPr>
            <w:tcW w:w="5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黑体" w:cs="Times New Roman"/>
                <w:i w:val="0"/>
                <w:iCs w:val="0"/>
                <w:color w:val="000000"/>
                <w:sz w:val="21"/>
                <w:szCs w:val="21"/>
                <w:u w:val="none"/>
              </w:rPr>
            </w:pPr>
            <w:r>
              <w:rPr>
                <w:rFonts w:hint="default" w:ascii="Times New Roman" w:hAnsi="Times New Roman" w:eastAsia="黑体" w:cs="Times New Roman"/>
                <w:i w:val="0"/>
                <w:iCs w:val="0"/>
                <w:color w:val="000000"/>
                <w:kern w:val="0"/>
                <w:sz w:val="21"/>
                <w:szCs w:val="21"/>
                <w:u w:val="none"/>
                <w:lang w:val="en-US" w:eastAsia="zh-CN" w:bidi="ar"/>
              </w:rPr>
              <w:t>序号</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i w:val="0"/>
                <w:iCs w:val="0"/>
                <w:color w:val="000000"/>
                <w:sz w:val="21"/>
                <w:szCs w:val="21"/>
                <w:u w:val="none"/>
              </w:rPr>
            </w:pPr>
            <w:r>
              <w:rPr>
                <w:rFonts w:hint="default" w:ascii="Times New Roman" w:hAnsi="Times New Roman" w:eastAsia="黑体" w:cs="Times New Roman"/>
                <w:i w:val="0"/>
                <w:iCs w:val="0"/>
                <w:color w:val="000000"/>
                <w:kern w:val="0"/>
                <w:sz w:val="21"/>
                <w:szCs w:val="21"/>
                <w:u w:val="none"/>
                <w:lang w:val="en-US" w:eastAsia="zh-CN" w:bidi="ar"/>
              </w:rPr>
              <w:t>事项类别</w:t>
            </w:r>
          </w:p>
        </w:tc>
        <w:tc>
          <w:tcPr>
            <w:tcW w:w="12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i w:val="0"/>
                <w:iCs w:val="0"/>
                <w:color w:val="000000"/>
                <w:sz w:val="21"/>
                <w:szCs w:val="21"/>
                <w:u w:val="none"/>
              </w:rPr>
            </w:pPr>
            <w:r>
              <w:rPr>
                <w:rFonts w:hint="default" w:ascii="Times New Roman" w:hAnsi="Times New Roman" w:eastAsia="黑体" w:cs="Times New Roman"/>
                <w:i w:val="0"/>
                <w:iCs w:val="0"/>
                <w:color w:val="000000"/>
                <w:kern w:val="0"/>
                <w:sz w:val="21"/>
                <w:szCs w:val="21"/>
                <w:u w:val="none"/>
                <w:lang w:val="en-US" w:eastAsia="zh-CN" w:bidi="ar"/>
              </w:rPr>
              <w:t>事项名称</w:t>
            </w: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i w:val="0"/>
                <w:iCs w:val="0"/>
                <w:color w:val="000000"/>
                <w:sz w:val="21"/>
                <w:szCs w:val="21"/>
                <w:u w:val="none"/>
              </w:rPr>
            </w:pPr>
            <w:r>
              <w:rPr>
                <w:rFonts w:hint="default" w:ascii="Times New Roman" w:hAnsi="Times New Roman" w:eastAsia="黑体" w:cs="Times New Roman"/>
                <w:i w:val="0"/>
                <w:iCs w:val="0"/>
                <w:color w:val="000000"/>
                <w:kern w:val="0"/>
                <w:sz w:val="21"/>
                <w:szCs w:val="21"/>
                <w:u w:val="none"/>
                <w:lang w:val="en-US" w:eastAsia="zh-CN" w:bidi="ar"/>
              </w:rPr>
              <w:t>公开内容</w:t>
            </w:r>
          </w:p>
        </w:tc>
        <w:tc>
          <w:tcPr>
            <w:tcW w:w="30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i w:val="0"/>
                <w:iCs w:val="0"/>
                <w:color w:val="000000"/>
                <w:sz w:val="21"/>
                <w:szCs w:val="21"/>
                <w:u w:val="none"/>
              </w:rPr>
            </w:pPr>
            <w:r>
              <w:rPr>
                <w:rFonts w:hint="default" w:ascii="Times New Roman" w:hAnsi="Times New Roman" w:eastAsia="黑体" w:cs="Times New Roman"/>
                <w:i w:val="0"/>
                <w:iCs w:val="0"/>
                <w:color w:val="000000"/>
                <w:kern w:val="0"/>
                <w:sz w:val="21"/>
                <w:szCs w:val="21"/>
                <w:u w:val="none"/>
                <w:lang w:val="en-US" w:eastAsia="zh-CN" w:bidi="ar"/>
              </w:rPr>
              <w:t>公开依据</w:t>
            </w:r>
          </w:p>
        </w:tc>
        <w:tc>
          <w:tcPr>
            <w:tcW w:w="14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i w:val="0"/>
                <w:iCs w:val="0"/>
                <w:color w:val="000000"/>
                <w:sz w:val="21"/>
                <w:szCs w:val="21"/>
                <w:u w:val="none"/>
              </w:rPr>
            </w:pPr>
            <w:r>
              <w:rPr>
                <w:rFonts w:hint="default" w:ascii="Times New Roman" w:hAnsi="Times New Roman" w:eastAsia="黑体" w:cs="Times New Roman"/>
                <w:i w:val="0"/>
                <w:iCs w:val="0"/>
                <w:color w:val="000000"/>
                <w:kern w:val="0"/>
                <w:sz w:val="21"/>
                <w:szCs w:val="21"/>
                <w:u w:val="none"/>
                <w:lang w:val="en-US" w:eastAsia="zh-CN" w:bidi="ar"/>
              </w:rPr>
              <w:t>公开渠道</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i w:val="0"/>
                <w:iCs w:val="0"/>
                <w:color w:val="000000"/>
                <w:sz w:val="21"/>
                <w:szCs w:val="21"/>
                <w:u w:val="none"/>
              </w:rPr>
            </w:pPr>
            <w:r>
              <w:rPr>
                <w:rFonts w:hint="default" w:ascii="Times New Roman" w:hAnsi="Times New Roman" w:eastAsia="黑体" w:cs="Times New Roman"/>
                <w:i w:val="0"/>
                <w:iCs w:val="0"/>
                <w:color w:val="000000"/>
                <w:kern w:val="0"/>
                <w:sz w:val="21"/>
                <w:szCs w:val="21"/>
                <w:u w:val="none"/>
                <w:lang w:val="en-US" w:eastAsia="zh-CN" w:bidi="ar"/>
              </w:rPr>
              <w:t>公开时限</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i w:val="0"/>
                <w:iCs w:val="0"/>
                <w:color w:val="000000"/>
                <w:sz w:val="21"/>
                <w:szCs w:val="21"/>
                <w:u w:val="none"/>
              </w:rPr>
            </w:pPr>
            <w:r>
              <w:rPr>
                <w:rFonts w:hint="default" w:ascii="Times New Roman" w:hAnsi="Times New Roman" w:eastAsia="黑体" w:cs="Times New Roman"/>
                <w:i w:val="0"/>
                <w:iCs w:val="0"/>
                <w:color w:val="000000"/>
                <w:kern w:val="0"/>
                <w:sz w:val="21"/>
                <w:szCs w:val="21"/>
                <w:u w:val="none"/>
                <w:lang w:val="en-US" w:eastAsia="zh-CN" w:bidi="ar"/>
              </w:rPr>
              <w:t>公开责任</w:t>
            </w:r>
          </w:p>
        </w:tc>
        <w:tc>
          <w:tcPr>
            <w:tcW w:w="18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i w:val="0"/>
                <w:iCs w:val="0"/>
                <w:color w:val="000000"/>
                <w:sz w:val="21"/>
                <w:szCs w:val="21"/>
                <w:u w:val="none"/>
              </w:rPr>
            </w:pPr>
            <w:r>
              <w:rPr>
                <w:rFonts w:hint="default" w:ascii="Times New Roman" w:hAnsi="Times New Roman" w:eastAsia="黑体" w:cs="Times New Roman"/>
                <w:i w:val="0"/>
                <w:iCs w:val="0"/>
                <w:color w:val="000000"/>
                <w:kern w:val="0"/>
                <w:sz w:val="21"/>
                <w:szCs w:val="21"/>
                <w:u w:val="none"/>
                <w:lang w:val="en-US" w:eastAsia="zh-CN" w:bidi="ar"/>
              </w:rPr>
              <w:t>链接地址</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i w:val="0"/>
                <w:iCs w:val="0"/>
                <w:color w:val="000000"/>
                <w:kern w:val="0"/>
                <w:sz w:val="21"/>
                <w:szCs w:val="21"/>
                <w:u w:val="none"/>
                <w:lang w:val="en-US" w:eastAsia="zh-CN" w:bidi="ar"/>
              </w:rPr>
            </w:pPr>
            <w:r>
              <w:rPr>
                <w:rFonts w:hint="eastAsia" w:eastAsia="黑体" w:cs="Times New Roman"/>
                <w:i w:val="0"/>
                <w:iCs w:val="0"/>
                <w:color w:val="000000"/>
                <w:kern w:val="0"/>
                <w:sz w:val="21"/>
                <w:szCs w:val="21"/>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702" w:hRule="atLeast"/>
          <w:jc w:val="center"/>
        </w:trPr>
        <w:tc>
          <w:tcPr>
            <w:tcW w:w="59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10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政策文件</w:t>
            </w:r>
          </w:p>
        </w:tc>
        <w:tc>
          <w:tcPr>
            <w:tcW w:w="12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行政规范性文件</w:t>
            </w: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行政规范性文件</w:t>
            </w:r>
          </w:p>
        </w:tc>
        <w:tc>
          <w:tcPr>
            <w:tcW w:w="30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《中华人民共和国政府信息公开条例》（国务院令第711号）第二十条</w:t>
            </w:r>
          </w:p>
        </w:tc>
        <w:tc>
          <w:tcPr>
            <w:tcW w:w="14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政府网站</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自该政府信息形成或者变更之日起20个工作日内</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方正仿宋_GBK" w:cs="Times New Roman"/>
                <w:i w:val="0"/>
                <w:iCs w:val="0"/>
                <w:color w:val="000000"/>
                <w:sz w:val="20"/>
                <w:szCs w:val="20"/>
                <w:u w:val="none"/>
                <w:lang w:val="en-US" w:eastAsia="zh-CN"/>
              </w:rPr>
            </w:pPr>
            <w:r>
              <w:rPr>
                <w:rFonts w:hint="eastAsia" w:eastAsia="方正仿宋_GBK" w:cs="Times New Roman"/>
                <w:i w:val="0"/>
                <w:iCs w:val="0"/>
                <w:color w:val="000000"/>
                <w:sz w:val="20"/>
                <w:szCs w:val="20"/>
                <w:u w:val="none"/>
                <w:lang w:val="en-US" w:eastAsia="zh-CN"/>
              </w:rPr>
              <w:t>法规股</w:t>
            </w:r>
          </w:p>
        </w:tc>
        <w:tc>
          <w:tcPr>
            <w:tcW w:w="18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snapToGrid w:val="0"/>
                <w:kern w:val="21"/>
                <w:sz w:val="20"/>
                <w:szCs w:val="20"/>
                <w:lang w:val="en-US" w:eastAsia="zh-CN"/>
              </w:rPr>
              <w:t>https://www.yuanling.gov.cn/yuanling/c108858/zfxxgkMultiList.shtml</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snapToGrid w:val="0"/>
                <w:kern w:val="21"/>
                <w:sz w:val="20"/>
                <w:szCs w:val="20"/>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702" w:hRule="atLeast"/>
          <w:jc w:val="center"/>
        </w:trPr>
        <w:tc>
          <w:tcPr>
            <w:tcW w:w="59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000000"/>
                <w:sz w:val="20"/>
                <w:szCs w:val="20"/>
                <w:u w:val="none"/>
              </w:rPr>
            </w:pPr>
          </w:p>
        </w:tc>
        <w:tc>
          <w:tcPr>
            <w:tcW w:w="110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default" w:ascii="Times New Roman" w:hAnsi="Times New Roman" w:eastAsia="方正仿宋_GBK" w:cs="Times New Roman"/>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其他政策文件</w:t>
            </w: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除行政规范性文件以外的其他可以公开的文件</w:t>
            </w:r>
          </w:p>
        </w:tc>
        <w:tc>
          <w:tcPr>
            <w:tcW w:w="30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《中华人民共和国政府信息公开条例》（国务院令第711号）第二十条</w:t>
            </w:r>
          </w:p>
        </w:tc>
        <w:tc>
          <w:tcPr>
            <w:tcW w:w="14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政府网站</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自该政府信息形成或者变更之日起20个工作日内</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sz w:val="20"/>
                <w:szCs w:val="20"/>
                <w:u w:val="none"/>
                <w:lang w:val="en-US" w:eastAsia="zh-CN"/>
              </w:rPr>
              <w:t>法规股</w:t>
            </w:r>
          </w:p>
        </w:tc>
        <w:tc>
          <w:tcPr>
            <w:tcW w:w="18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sz w:val="20"/>
                <w:szCs w:val="20"/>
                <w:u w:val="none"/>
              </w:rPr>
              <w:t>https://www.yuanling.gov.cn/yuanling/c118841/list2020.shtml</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066" w:hRule="atLeast"/>
          <w:jc w:val="center"/>
        </w:trPr>
        <w:tc>
          <w:tcPr>
            <w:tcW w:w="59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110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机构概况</w:t>
            </w:r>
          </w:p>
        </w:tc>
        <w:tc>
          <w:tcPr>
            <w:tcW w:w="12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领导信息</w:t>
            </w: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单位负责人姓名、职务、主管或分管工作等</w:t>
            </w:r>
          </w:p>
        </w:tc>
        <w:tc>
          <w:tcPr>
            <w:tcW w:w="30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《中华人民共和国政府信息公开条例》（国务院令第711号）第二十条</w:t>
            </w:r>
          </w:p>
        </w:tc>
        <w:tc>
          <w:tcPr>
            <w:tcW w:w="14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政府网站</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自该政府信息形成或者变更之日起20个工作日内</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方正仿宋_GBK" w:cs="Times New Roman"/>
                <w:i w:val="0"/>
                <w:iCs w:val="0"/>
                <w:color w:val="000000"/>
                <w:sz w:val="20"/>
                <w:szCs w:val="20"/>
                <w:u w:val="none"/>
                <w:lang w:eastAsia="zh-CN"/>
              </w:rPr>
            </w:pPr>
            <w:r>
              <w:rPr>
                <w:rFonts w:hint="eastAsia" w:eastAsia="方正仿宋_GBK" w:cs="Times New Roman"/>
                <w:i w:val="0"/>
                <w:iCs w:val="0"/>
                <w:color w:val="000000"/>
                <w:sz w:val="20"/>
                <w:szCs w:val="20"/>
                <w:u w:val="none"/>
                <w:lang w:eastAsia="zh-CN"/>
              </w:rPr>
              <w:t>办公室</w:t>
            </w:r>
          </w:p>
        </w:tc>
        <w:tc>
          <w:tcPr>
            <w:tcW w:w="18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sz w:val="20"/>
                <w:szCs w:val="20"/>
                <w:u w:val="none"/>
              </w:rPr>
              <w:t>https://www.yuanling.gov.cn/yuanling/c118840/bmxz_jgzn.shtml</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631" w:hRule="atLeast"/>
          <w:jc w:val="center"/>
        </w:trPr>
        <w:tc>
          <w:tcPr>
            <w:tcW w:w="59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000000"/>
                <w:sz w:val="20"/>
                <w:szCs w:val="20"/>
                <w:u w:val="none"/>
              </w:rPr>
            </w:pPr>
          </w:p>
        </w:tc>
        <w:tc>
          <w:tcPr>
            <w:tcW w:w="110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default" w:ascii="Times New Roman" w:hAnsi="Times New Roman" w:eastAsia="方正仿宋_GBK" w:cs="Times New Roman"/>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机构信息</w:t>
            </w: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依据三定方案确定的机关职能，以及机构设置、办公地址、办公时间、联系方式等</w:t>
            </w:r>
          </w:p>
        </w:tc>
        <w:tc>
          <w:tcPr>
            <w:tcW w:w="30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《中华人民共和国政府信息公开条例》（国务院令第711号）第二十条</w:t>
            </w:r>
          </w:p>
        </w:tc>
        <w:tc>
          <w:tcPr>
            <w:tcW w:w="14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政府网站</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自该政府信息形成或者变更之日起20个工作日内</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方正仿宋_GBK" w:cs="Times New Roman"/>
                <w:i w:val="0"/>
                <w:iCs w:val="0"/>
                <w:color w:val="000000"/>
                <w:sz w:val="20"/>
                <w:szCs w:val="20"/>
                <w:u w:val="none"/>
                <w:lang w:eastAsia="zh-CN"/>
              </w:rPr>
            </w:pPr>
            <w:r>
              <w:rPr>
                <w:rFonts w:hint="eastAsia" w:eastAsia="方正仿宋_GBK" w:cs="Times New Roman"/>
                <w:i w:val="0"/>
                <w:iCs w:val="0"/>
                <w:color w:val="000000"/>
                <w:sz w:val="20"/>
                <w:szCs w:val="20"/>
                <w:u w:val="none"/>
                <w:lang w:eastAsia="zh-CN"/>
              </w:rPr>
              <w:t>办公室</w:t>
            </w:r>
          </w:p>
        </w:tc>
        <w:tc>
          <w:tcPr>
            <w:tcW w:w="18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sz w:val="20"/>
                <w:szCs w:val="20"/>
                <w:u w:val="none"/>
              </w:rPr>
              <w:t>https://www.yuanling.gov.cn/yuanling/c118840/bmxz_jgzn.shtml</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595" w:hRule="atLeast"/>
          <w:jc w:val="center"/>
        </w:trPr>
        <w:tc>
          <w:tcPr>
            <w:tcW w:w="5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规划计划</w:t>
            </w:r>
          </w:p>
        </w:tc>
        <w:tc>
          <w:tcPr>
            <w:tcW w:w="12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住房和城乡建设领域规划计划</w:t>
            </w: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涉及住房和城乡建设业务职能的中长期计划、年度工作计划信息、计划执行情况</w:t>
            </w:r>
          </w:p>
        </w:tc>
        <w:tc>
          <w:tcPr>
            <w:tcW w:w="30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《中华人民共和国政府信息公开条例》（国务院令第711号）第二十条</w:t>
            </w:r>
          </w:p>
        </w:tc>
        <w:tc>
          <w:tcPr>
            <w:tcW w:w="14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政府网站</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自该政府信息形成或者变更之日起20个工作日内</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方正仿宋_GBK" w:cs="Times New Roman"/>
                <w:i w:val="0"/>
                <w:iCs w:val="0"/>
                <w:color w:val="000000"/>
                <w:sz w:val="20"/>
                <w:szCs w:val="20"/>
                <w:u w:val="none"/>
                <w:lang w:eastAsia="zh-CN"/>
              </w:rPr>
            </w:pPr>
            <w:r>
              <w:rPr>
                <w:rFonts w:hint="eastAsia" w:eastAsia="方正仿宋_GBK" w:cs="Times New Roman"/>
                <w:i w:val="0"/>
                <w:iCs w:val="0"/>
                <w:color w:val="000000"/>
                <w:sz w:val="20"/>
                <w:szCs w:val="20"/>
                <w:u w:val="none"/>
                <w:lang w:eastAsia="zh-CN"/>
              </w:rPr>
              <w:t>办公室</w:t>
            </w:r>
          </w:p>
        </w:tc>
        <w:tc>
          <w:tcPr>
            <w:tcW w:w="18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sz w:val="20"/>
                <w:szCs w:val="20"/>
                <w:u w:val="none"/>
              </w:rPr>
              <w:t>https://www.yuanling.gov.cn/yuanling/c118844/list2020.shtml</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2633" w:hRule="atLeast"/>
          <w:jc w:val="center"/>
        </w:trPr>
        <w:tc>
          <w:tcPr>
            <w:tcW w:w="5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政务服务</w:t>
            </w:r>
          </w:p>
        </w:tc>
        <w:tc>
          <w:tcPr>
            <w:tcW w:w="12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住房和城乡建设领域政务服务事项信息</w:t>
            </w: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住房和城乡建设领域办理行政许可和其他对外管理服务事项目录，行使事项的依据、条件、程序以及办理结果</w:t>
            </w:r>
          </w:p>
        </w:tc>
        <w:tc>
          <w:tcPr>
            <w:tcW w:w="30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中华人民共和国行政许可法》第三十条；《中华人民共和国政府信息公开条例》（国务院令第711号）第二十条；《国务院办公厅关于全面实行行政许可事项清单管理的通知》（国办发〔2022〕2号）第（八）条；《国务院关于建立完善守信联合激励和失信联合惩戒制度加快推进社会诚信建设的指导意见》（国发〔2016〕33号）第（十七）条</w:t>
            </w:r>
          </w:p>
        </w:tc>
        <w:tc>
          <w:tcPr>
            <w:tcW w:w="14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政府网站</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自该政府信息形成或者变更之日起20个工作日内；行政许可自决定之日起7个工作日内</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方正仿宋_GBK" w:cs="Times New Roman"/>
                <w:i w:val="0"/>
                <w:iCs w:val="0"/>
                <w:color w:val="000000"/>
                <w:sz w:val="20"/>
                <w:szCs w:val="20"/>
                <w:u w:val="none"/>
                <w:lang w:eastAsia="zh-CN"/>
              </w:rPr>
            </w:pPr>
            <w:r>
              <w:rPr>
                <w:rFonts w:hint="eastAsia" w:eastAsia="方正仿宋_GBK" w:cs="Times New Roman"/>
                <w:i w:val="0"/>
                <w:iCs w:val="0"/>
                <w:color w:val="000000"/>
                <w:sz w:val="20"/>
                <w:szCs w:val="20"/>
                <w:u w:val="none"/>
                <w:lang w:eastAsia="zh-CN"/>
              </w:rPr>
              <w:t>行审股</w:t>
            </w:r>
          </w:p>
        </w:tc>
        <w:tc>
          <w:tcPr>
            <w:tcW w:w="18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auto"/>
                <w:sz w:val="20"/>
                <w:szCs w:val="20"/>
                <w:u w:val="none"/>
              </w:rPr>
              <w:t>http://zwfw-new.hunan.gov.cn/onething/service/index.jsp?type=xndtgr&amp;main=1&amp;areacode=431222999000</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375" w:hRule="atLeast"/>
          <w:jc w:val="center"/>
        </w:trPr>
        <w:tc>
          <w:tcPr>
            <w:tcW w:w="59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0"/>
                <w:szCs w:val="20"/>
                <w:u w:val="none"/>
              </w:rPr>
            </w:pPr>
            <w:r>
              <w:rPr>
                <w:rFonts w:hint="eastAsia" w:eastAsia="宋体" w:cs="Times New Roman"/>
                <w:i w:val="0"/>
                <w:iCs w:val="0"/>
                <w:color w:val="000000"/>
                <w:kern w:val="0"/>
                <w:sz w:val="20"/>
                <w:szCs w:val="20"/>
                <w:u w:val="none"/>
                <w:lang w:val="en-US" w:eastAsia="zh-CN" w:bidi="ar"/>
              </w:rPr>
              <w:t>5</w:t>
            </w:r>
          </w:p>
        </w:tc>
        <w:tc>
          <w:tcPr>
            <w:tcW w:w="110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财政预算、决算</w:t>
            </w:r>
          </w:p>
        </w:tc>
        <w:tc>
          <w:tcPr>
            <w:tcW w:w="12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预算、决算</w:t>
            </w: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部门预算、决算及执行情况</w:t>
            </w:r>
          </w:p>
        </w:tc>
        <w:tc>
          <w:tcPr>
            <w:tcW w:w="30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《中华人民共和国预算法》 第十四条；《中华人民共和国预算法实施条例》第六条；《中华人民共和国政府信息公开条例》（国务院令第711号）第二十条</w:t>
            </w:r>
          </w:p>
        </w:tc>
        <w:tc>
          <w:tcPr>
            <w:tcW w:w="14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政府网站</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sz w:val="20"/>
                <w:szCs w:val="20"/>
                <w:u w:val="none"/>
              </w:rPr>
              <w:t>批准（批复）后20日内</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方正仿宋_GBK" w:cs="Times New Roman"/>
                <w:i w:val="0"/>
                <w:iCs w:val="0"/>
                <w:color w:val="000000"/>
                <w:sz w:val="20"/>
                <w:szCs w:val="20"/>
                <w:u w:val="none"/>
                <w:lang w:eastAsia="zh-CN"/>
              </w:rPr>
            </w:pPr>
            <w:r>
              <w:rPr>
                <w:rFonts w:hint="eastAsia" w:eastAsia="方正仿宋_GBK" w:cs="Times New Roman"/>
                <w:i w:val="0"/>
                <w:iCs w:val="0"/>
                <w:color w:val="000000"/>
                <w:sz w:val="20"/>
                <w:szCs w:val="20"/>
                <w:u w:val="none"/>
                <w:lang w:eastAsia="zh-CN"/>
              </w:rPr>
              <w:t>财务室</w:t>
            </w:r>
          </w:p>
        </w:tc>
        <w:tc>
          <w:tcPr>
            <w:tcW w:w="18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auto"/>
                <w:sz w:val="20"/>
                <w:szCs w:val="20"/>
                <w:u w:val="none"/>
              </w:rPr>
              <w:fldChar w:fldCharType="begin"/>
            </w:r>
            <w:r>
              <w:rPr>
                <w:rFonts w:hint="default" w:ascii="Times New Roman" w:hAnsi="Times New Roman" w:eastAsia="方正仿宋_GBK" w:cs="Times New Roman"/>
                <w:i w:val="0"/>
                <w:iCs w:val="0"/>
                <w:color w:val="auto"/>
                <w:sz w:val="20"/>
                <w:szCs w:val="20"/>
                <w:u w:val="none"/>
              </w:rPr>
              <w:instrText xml:space="preserve"> HYPERLINK "http://www.yuanling.gov.cn/yuanling/c108873/zfxxgkMultiList.shtml" </w:instrText>
            </w:r>
            <w:r>
              <w:rPr>
                <w:rFonts w:hint="default" w:ascii="Times New Roman" w:hAnsi="Times New Roman" w:eastAsia="方正仿宋_GBK" w:cs="Times New Roman"/>
                <w:i w:val="0"/>
                <w:iCs w:val="0"/>
                <w:color w:val="auto"/>
                <w:sz w:val="20"/>
                <w:szCs w:val="20"/>
                <w:u w:val="none"/>
              </w:rPr>
              <w:fldChar w:fldCharType="separate"/>
            </w:r>
            <w:r>
              <w:rPr>
                <w:rStyle w:val="6"/>
                <w:rFonts w:hint="default" w:ascii="Times New Roman" w:hAnsi="Times New Roman" w:eastAsia="方正仿宋_GBK" w:cs="Times New Roman"/>
                <w:i w:val="0"/>
                <w:iCs w:val="0"/>
                <w:color w:val="auto"/>
                <w:sz w:val="20"/>
                <w:szCs w:val="20"/>
                <w:u w:val="none"/>
              </w:rPr>
              <w:t>http://www.yuanling.gov.cn/yuanling/c108873/zfxxgkMultiList.shtml</w:t>
            </w:r>
            <w:r>
              <w:rPr>
                <w:rFonts w:hint="default" w:ascii="Times New Roman" w:hAnsi="Times New Roman" w:eastAsia="方正仿宋_GBK" w:cs="Times New Roman"/>
                <w:i w:val="0"/>
                <w:iCs w:val="0"/>
                <w:color w:val="auto"/>
                <w:sz w:val="20"/>
                <w:szCs w:val="20"/>
                <w:u w:val="none"/>
              </w:rPr>
              <w:fldChar w:fldCharType="end"/>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401" w:hRule="atLeast"/>
          <w:jc w:val="center"/>
        </w:trPr>
        <w:tc>
          <w:tcPr>
            <w:tcW w:w="59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000000"/>
                <w:sz w:val="20"/>
                <w:szCs w:val="20"/>
                <w:u w:val="none"/>
              </w:rPr>
            </w:pPr>
          </w:p>
        </w:tc>
        <w:tc>
          <w:tcPr>
            <w:tcW w:w="110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default" w:ascii="Times New Roman" w:hAnsi="Times New Roman" w:eastAsia="方正仿宋_GBK" w:cs="Times New Roman"/>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“三公”经费</w:t>
            </w: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“三公”经费财政拨款预算总额和分项数额，对增减变化的原因说明</w:t>
            </w:r>
          </w:p>
        </w:tc>
        <w:tc>
          <w:tcPr>
            <w:tcW w:w="30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《中华人民共和国预算法》 第十四条；《中华人民共和国预算法实施条例》第六条；《中华人民共和国政府信息公开条例》（国务院令第711号）第二十条</w:t>
            </w:r>
          </w:p>
        </w:tc>
        <w:tc>
          <w:tcPr>
            <w:tcW w:w="14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政府网站</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sz w:val="20"/>
                <w:szCs w:val="20"/>
                <w:u w:val="none"/>
              </w:rPr>
              <w:t>批准（批复）后20日内</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sz w:val="20"/>
                <w:szCs w:val="20"/>
                <w:u w:val="none"/>
                <w:lang w:eastAsia="zh-CN"/>
              </w:rPr>
              <w:t>财务室</w:t>
            </w:r>
          </w:p>
        </w:tc>
        <w:tc>
          <w:tcPr>
            <w:tcW w:w="18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auto"/>
                <w:sz w:val="20"/>
                <w:szCs w:val="20"/>
                <w:u w:val="none"/>
              </w:rPr>
              <w:fldChar w:fldCharType="begin"/>
            </w:r>
            <w:r>
              <w:rPr>
                <w:rFonts w:hint="default" w:ascii="Times New Roman" w:hAnsi="Times New Roman" w:eastAsia="方正仿宋_GBK" w:cs="Times New Roman"/>
                <w:i w:val="0"/>
                <w:iCs w:val="0"/>
                <w:color w:val="auto"/>
                <w:sz w:val="20"/>
                <w:szCs w:val="20"/>
                <w:u w:val="none"/>
              </w:rPr>
              <w:instrText xml:space="preserve"> HYPERLINK "http://www.yuanling.gov.cn/yuanling/c108873/zfxxgkMultiList.shtml" </w:instrText>
            </w:r>
            <w:r>
              <w:rPr>
                <w:rFonts w:hint="default" w:ascii="Times New Roman" w:hAnsi="Times New Roman" w:eastAsia="方正仿宋_GBK" w:cs="Times New Roman"/>
                <w:i w:val="0"/>
                <w:iCs w:val="0"/>
                <w:color w:val="auto"/>
                <w:sz w:val="20"/>
                <w:szCs w:val="20"/>
                <w:u w:val="none"/>
              </w:rPr>
              <w:fldChar w:fldCharType="separate"/>
            </w:r>
            <w:r>
              <w:rPr>
                <w:rStyle w:val="5"/>
                <w:rFonts w:hint="default" w:ascii="Times New Roman" w:hAnsi="Times New Roman" w:eastAsia="方正仿宋_GBK" w:cs="Times New Roman"/>
                <w:i w:val="0"/>
                <w:iCs w:val="0"/>
                <w:color w:val="auto"/>
                <w:sz w:val="20"/>
                <w:szCs w:val="20"/>
                <w:u w:val="none"/>
              </w:rPr>
              <w:t>http://www.yuanling.gov.cn/yuanling/c108873/zfxxgkMultiList.shtml</w:t>
            </w:r>
            <w:r>
              <w:rPr>
                <w:rFonts w:hint="default" w:ascii="Times New Roman" w:hAnsi="Times New Roman" w:eastAsia="方正仿宋_GBK" w:cs="Times New Roman"/>
                <w:i w:val="0"/>
                <w:iCs w:val="0"/>
                <w:color w:val="auto"/>
                <w:sz w:val="20"/>
                <w:szCs w:val="20"/>
                <w:u w:val="none"/>
              </w:rPr>
              <w:fldChar w:fldCharType="end"/>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493" w:hRule="atLeast"/>
          <w:jc w:val="center"/>
        </w:trPr>
        <w:tc>
          <w:tcPr>
            <w:tcW w:w="59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000000"/>
                <w:sz w:val="20"/>
                <w:szCs w:val="20"/>
                <w:u w:val="none"/>
              </w:rPr>
            </w:pPr>
          </w:p>
        </w:tc>
        <w:tc>
          <w:tcPr>
            <w:tcW w:w="110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default" w:ascii="Times New Roman" w:hAnsi="Times New Roman" w:eastAsia="方正仿宋_GBK" w:cs="Times New Roman"/>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绩效评价</w:t>
            </w: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按要求将项目支出绩效评价结果编入预算并公开</w:t>
            </w:r>
          </w:p>
        </w:tc>
        <w:tc>
          <w:tcPr>
            <w:tcW w:w="30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《财政部关于印发&lt;项目支出绩效评价管理办法&gt;的通知》（财预〔2020〕10号）第二十八条；《湖南省财政厅关于印发&lt;湖南省预算支出绩效评价管理办法&gt;的通知》（湘财绩〔2020〕7号）第四十二条；</w:t>
            </w:r>
          </w:p>
        </w:tc>
        <w:tc>
          <w:tcPr>
            <w:tcW w:w="14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政府网站</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自该政府信息形成或者变更之日起20个工作日内</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sz w:val="20"/>
                <w:szCs w:val="20"/>
                <w:u w:val="none"/>
                <w:lang w:eastAsia="zh-CN"/>
              </w:rPr>
              <w:t>财务室</w:t>
            </w:r>
          </w:p>
        </w:tc>
        <w:tc>
          <w:tcPr>
            <w:tcW w:w="18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auto"/>
                <w:sz w:val="20"/>
                <w:szCs w:val="20"/>
                <w:u w:val="none"/>
              </w:rPr>
              <w:fldChar w:fldCharType="begin"/>
            </w:r>
            <w:r>
              <w:rPr>
                <w:rFonts w:hint="default" w:ascii="Times New Roman" w:hAnsi="Times New Roman" w:eastAsia="方正仿宋_GBK" w:cs="Times New Roman"/>
                <w:i w:val="0"/>
                <w:iCs w:val="0"/>
                <w:color w:val="auto"/>
                <w:sz w:val="20"/>
                <w:szCs w:val="20"/>
                <w:u w:val="none"/>
              </w:rPr>
              <w:instrText xml:space="preserve"> HYPERLINK "http://www.yuanling.gov.cn/yuanling/c108873/zfxxgkMultiList.shtml" </w:instrText>
            </w:r>
            <w:r>
              <w:rPr>
                <w:rFonts w:hint="default" w:ascii="Times New Roman" w:hAnsi="Times New Roman" w:eastAsia="方正仿宋_GBK" w:cs="Times New Roman"/>
                <w:i w:val="0"/>
                <w:iCs w:val="0"/>
                <w:color w:val="auto"/>
                <w:sz w:val="20"/>
                <w:szCs w:val="20"/>
                <w:u w:val="none"/>
              </w:rPr>
              <w:fldChar w:fldCharType="separate"/>
            </w:r>
            <w:r>
              <w:rPr>
                <w:rStyle w:val="5"/>
                <w:rFonts w:hint="default" w:ascii="Times New Roman" w:hAnsi="Times New Roman" w:eastAsia="方正仿宋_GBK" w:cs="Times New Roman"/>
                <w:i w:val="0"/>
                <w:iCs w:val="0"/>
                <w:color w:val="auto"/>
                <w:sz w:val="20"/>
                <w:szCs w:val="20"/>
                <w:u w:val="none"/>
              </w:rPr>
              <w:t>http://www.yuanling.gov.cn/yuanling/c108873/zfxxgkMultiList.shtml</w:t>
            </w:r>
            <w:r>
              <w:rPr>
                <w:rFonts w:hint="default" w:ascii="Times New Roman" w:hAnsi="Times New Roman" w:eastAsia="方正仿宋_GBK" w:cs="Times New Roman"/>
                <w:i w:val="0"/>
                <w:iCs w:val="0"/>
                <w:color w:val="auto"/>
                <w:sz w:val="20"/>
                <w:szCs w:val="20"/>
                <w:u w:val="none"/>
              </w:rPr>
              <w:fldChar w:fldCharType="end"/>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907" w:hRule="atLeast"/>
          <w:jc w:val="center"/>
        </w:trPr>
        <w:tc>
          <w:tcPr>
            <w:tcW w:w="5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0"/>
                <w:szCs w:val="20"/>
                <w:u w:val="none"/>
              </w:rPr>
            </w:pPr>
            <w:r>
              <w:rPr>
                <w:rFonts w:hint="eastAsia" w:eastAsia="宋体" w:cs="Times New Roman"/>
                <w:i w:val="0"/>
                <w:iCs w:val="0"/>
                <w:color w:val="000000"/>
                <w:kern w:val="0"/>
                <w:sz w:val="20"/>
                <w:szCs w:val="20"/>
                <w:u w:val="none"/>
                <w:lang w:val="en-US" w:eastAsia="zh-CN" w:bidi="ar"/>
              </w:rPr>
              <w:t>6</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行政事业性收费信息</w:t>
            </w:r>
          </w:p>
        </w:tc>
        <w:tc>
          <w:tcPr>
            <w:tcW w:w="12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行政事业性收费清单</w:t>
            </w: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行政事业性收费的收费主体、收费对象、收费范围、计费（量）单位和标准、收费频次等</w:t>
            </w:r>
          </w:p>
        </w:tc>
        <w:tc>
          <w:tcPr>
            <w:tcW w:w="30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《中华人民共和国政府信息公开条例》（国务院令第711号）</w:t>
            </w:r>
          </w:p>
        </w:tc>
        <w:tc>
          <w:tcPr>
            <w:tcW w:w="14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政府网站</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自该政府信息形成或者变更之日起20个工作日内。</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方正仿宋_GBK" w:cs="Times New Roman"/>
                <w:i w:val="0"/>
                <w:iCs w:val="0"/>
                <w:color w:val="000000"/>
                <w:sz w:val="20"/>
                <w:szCs w:val="20"/>
                <w:u w:val="none"/>
                <w:lang w:eastAsia="zh-CN"/>
              </w:rPr>
            </w:pPr>
            <w:r>
              <w:rPr>
                <w:rFonts w:hint="eastAsia" w:eastAsia="方正仿宋_GBK" w:cs="Times New Roman"/>
                <w:i w:val="0"/>
                <w:iCs w:val="0"/>
                <w:color w:val="000000"/>
                <w:sz w:val="20"/>
                <w:szCs w:val="20"/>
                <w:u w:val="none"/>
                <w:lang w:eastAsia="zh-CN"/>
              </w:rPr>
              <w:t>行审股</w:t>
            </w:r>
          </w:p>
        </w:tc>
        <w:tc>
          <w:tcPr>
            <w:tcW w:w="18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sz w:val="20"/>
                <w:szCs w:val="20"/>
                <w:u w:val="none"/>
              </w:rPr>
              <w:t>https://www.yuanling.gov.cn/yuanling/c131815/list2020.shtml</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2280" w:hRule="atLeast"/>
          <w:jc w:val="center"/>
        </w:trPr>
        <w:tc>
          <w:tcPr>
            <w:tcW w:w="5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000000"/>
                <w:sz w:val="20"/>
                <w:szCs w:val="20"/>
                <w:u w:val="none"/>
              </w:rPr>
            </w:pPr>
            <w:r>
              <w:rPr>
                <w:rFonts w:hint="eastAsia" w:eastAsia="宋体" w:cs="Times New Roman"/>
                <w:i w:val="0"/>
                <w:iCs w:val="0"/>
                <w:color w:val="000000"/>
                <w:kern w:val="0"/>
                <w:sz w:val="20"/>
                <w:szCs w:val="20"/>
                <w:u w:val="none"/>
                <w:lang w:val="en-US" w:eastAsia="zh-CN" w:bidi="ar"/>
              </w:rPr>
              <w:t>7</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政府采购</w:t>
            </w:r>
          </w:p>
        </w:tc>
        <w:tc>
          <w:tcPr>
            <w:tcW w:w="12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政府集中采购项目的实施情况</w:t>
            </w: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包括采购项目公告、采购文件、采购项目预算金额、采购结果、采购合同等信息</w:t>
            </w:r>
          </w:p>
        </w:tc>
        <w:tc>
          <w:tcPr>
            <w:tcW w:w="30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中华人民共和国政府采购法》第六十三条；《中华人民共和国预算法》第十四条；《中华人民共和国政府信息公开条例》（国务院令第711号）第二十条；《国务院办公厅关于推进公共资源配置领域政府信息公开的意见》（国办发〔2017〕97号）第二部分第（一）条第4点</w:t>
            </w:r>
          </w:p>
        </w:tc>
        <w:tc>
          <w:tcPr>
            <w:tcW w:w="14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政府网站</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自该政府信息形成或者变更之日起20个工作日内</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方正仿宋_GBK" w:cs="Times New Roman"/>
                <w:i w:val="0"/>
                <w:iCs w:val="0"/>
                <w:color w:val="000000"/>
                <w:sz w:val="20"/>
                <w:szCs w:val="20"/>
                <w:u w:val="none"/>
                <w:lang w:eastAsia="zh-CN"/>
              </w:rPr>
            </w:pPr>
            <w:r>
              <w:rPr>
                <w:rFonts w:hint="eastAsia" w:eastAsia="方正仿宋_GBK" w:cs="Times New Roman"/>
                <w:i w:val="0"/>
                <w:iCs w:val="0"/>
                <w:color w:val="000000"/>
                <w:sz w:val="20"/>
                <w:szCs w:val="20"/>
                <w:u w:val="none"/>
                <w:lang w:eastAsia="zh-CN"/>
              </w:rPr>
              <w:t>财务室</w:t>
            </w:r>
          </w:p>
        </w:tc>
        <w:tc>
          <w:tcPr>
            <w:tcW w:w="18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auto"/>
                <w:sz w:val="20"/>
                <w:szCs w:val="20"/>
                <w:u w:val="none"/>
              </w:rPr>
              <w:t>http://www.yuanling.gov.cn/yuanling/c109038/zfxxgkMultiList.shtml</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851" w:hRule="atLeast"/>
          <w:jc w:val="center"/>
        </w:trPr>
        <w:tc>
          <w:tcPr>
            <w:tcW w:w="5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0"/>
                <w:szCs w:val="20"/>
                <w:u w:val="none"/>
              </w:rPr>
            </w:pPr>
            <w:r>
              <w:rPr>
                <w:rFonts w:hint="eastAsia" w:eastAsia="宋体" w:cs="Times New Roman"/>
                <w:i w:val="0"/>
                <w:iCs w:val="0"/>
                <w:color w:val="000000"/>
                <w:kern w:val="0"/>
                <w:sz w:val="20"/>
                <w:szCs w:val="20"/>
                <w:u w:val="none"/>
                <w:lang w:val="en-US" w:eastAsia="zh-CN" w:bidi="ar"/>
              </w:rPr>
              <w:t>8</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重大建设项目</w:t>
            </w:r>
          </w:p>
        </w:tc>
        <w:tc>
          <w:tcPr>
            <w:tcW w:w="12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住房和城乡建设领域重大建设项目的批准和实施情况</w:t>
            </w: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住房和城乡建设领域重大建设项目名称、审批、核准、备案和批准结果信息，实施过程、结果和社会效果等信息</w:t>
            </w:r>
          </w:p>
        </w:tc>
        <w:tc>
          <w:tcPr>
            <w:tcW w:w="30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《中华人民共和国政府信息公开条例》（国务院令第711号）第二十条；《国务院办公厅关于推进重大建设项目批准和实施领域政府信息公开的意见》（国办发〔2017〕94号）</w:t>
            </w:r>
          </w:p>
        </w:tc>
        <w:tc>
          <w:tcPr>
            <w:tcW w:w="14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政府网站</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自该政府信息形成或者变更之日起20个工作日内</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方正仿宋_GBK" w:cs="Times New Roman"/>
                <w:i w:val="0"/>
                <w:iCs w:val="0"/>
                <w:color w:val="000000"/>
                <w:sz w:val="20"/>
                <w:szCs w:val="20"/>
                <w:u w:val="none"/>
                <w:lang w:eastAsia="zh-CN"/>
              </w:rPr>
            </w:pPr>
            <w:r>
              <w:rPr>
                <w:rFonts w:hint="eastAsia" w:eastAsia="方正仿宋_GBK" w:cs="Times New Roman"/>
                <w:i w:val="0"/>
                <w:iCs w:val="0"/>
                <w:color w:val="000000"/>
                <w:sz w:val="20"/>
                <w:szCs w:val="20"/>
                <w:u w:val="none"/>
                <w:lang w:eastAsia="zh-CN"/>
              </w:rPr>
              <w:t>城建股</w:t>
            </w:r>
          </w:p>
        </w:tc>
        <w:tc>
          <w:tcPr>
            <w:tcW w:w="18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sz w:val="20"/>
                <w:szCs w:val="20"/>
                <w:u w:val="none"/>
              </w:rPr>
              <w:t>https://www.yuanling.gov.cn/yuanling/c138709/zfxxgkList.shtml</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805" w:hRule="atLeast"/>
          <w:jc w:val="center"/>
        </w:trPr>
        <w:tc>
          <w:tcPr>
            <w:tcW w:w="5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0"/>
                <w:szCs w:val="20"/>
                <w:u w:val="none"/>
                <w:lang w:val="en-US"/>
              </w:rPr>
            </w:pPr>
            <w:r>
              <w:rPr>
                <w:rFonts w:hint="eastAsia" w:eastAsia="宋体" w:cs="Times New Roman"/>
                <w:i w:val="0"/>
                <w:iCs w:val="0"/>
                <w:color w:val="000000"/>
                <w:kern w:val="0"/>
                <w:sz w:val="20"/>
                <w:szCs w:val="20"/>
                <w:u w:val="none"/>
                <w:lang w:val="en-US" w:eastAsia="zh-CN" w:bidi="ar"/>
              </w:rPr>
              <w:t>9</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应急管理</w:t>
            </w:r>
          </w:p>
        </w:tc>
        <w:tc>
          <w:tcPr>
            <w:tcW w:w="12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突发公共事件的应急预案、预警信息及应对情况</w:t>
            </w: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住房和城乡建设领域突发公共事件应急预案，发布的预警信息和事件应对情况</w:t>
            </w:r>
          </w:p>
        </w:tc>
        <w:tc>
          <w:tcPr>
            <w:tcW w:w="30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《中华人民共和国政府信息公开条例》（国务院令第711号）第二十条；《国务院办公厅关于印发&lt;突发事件应急预案管理办法&gt;的通知》（国办发〔2024〕5号）第二十八条</w:t>
            </w:r>
          </w:p>
        </w:tc>
        <w:tc>
          <w:tcPr>
            <w:tcW w:w="14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政府网站</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自该政府信息形成或者变更之日起20个工作日内</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方正仿宋_GBK" w:cs="Times New Roman"/>
                <w:i w:val="0"/>
                <w:iCs w:val="0"/>
                <w:color w:val="000000"/>
                <w:sz w:val="20"/>
                <w:szCs w:val="20"/>
                <w:u w:val="none"/>
                <w:lang w:eastAsia="zh-CN"/>
              </w:rPr>
            </w:pPr>
            <w:r>
              <w:rPr>
                <w:rFonts w:hint="eastAsia" w:eastAsia="方正仿宋_GBK" w:cs="Times New Roman"/>
                <w:i w:val="0"/>
                <w:iCs w:val="0"/>
                <w:color w:val="000000"/>
                <w:sz w:val="20"/>
                <w:szCs w:val="20"/>
                <w:u w:val="none"/>
                <w:lang w:eastAsia="zh-CN"/>
              </w:rPr>
              <w:t>建工股</w:t>
            </w:r>
          </w:p>
        </w:tc>
        <w:tc>
          <w:tcPr>
            <w:tcW w:w="18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auto"/>
                <w:sz w:val="20"/>
                <w:szCs w:val="20"/>
                <w:u w:val="none"/>
              </w:rPr>
              <w:fldChar w:fldCharType="begin"/>
            </w:r>
            <w:r>
              <w:rPr>
                <w:rFonts w:hint="default" w:ascii="Times New Roman" w:hAnsi="Times New Roman" w:eastAsia="方正仿宋_GBK" w:cs="Times New Roman"/>
                <w:i w:val="0"/>
                <w:iCs w:val="0"/>
                <w:color w:val="auto"/>
                <w:sz w:val="20"/>
                <w:szCs w:val="20"/>
                <w:u w:val="none"/>
              </w:rPr>
              <w:instrText xml:space="preserve"> HYPERLINK "http://www.yuanling.gov.cn/yuanling/c108888/zfxxgkMultiList.shtml" </w:instrText>
            </w:r>
            <w:r>
              <w:rPr>
                <w:rFonts w:hint="default" w:ascii="Times New Roman" w:hAnsi="Times New Roman" w:eastAsia="方正仿宋_GBK" w:cs="Times New Roman"/>
                <w:i w:val="0"/>
                <w:iCs w:val="0"/>
                <w:color w:val="auto"/>
                <w:sz w:val="20"/>
                <w:szCs w:val="20"/>
                <w:u w:val="none"/>
              </w:rPr>
              <w:fldChar w:fldCharType="separate"/>
            </w:r>
            <w:r>
              <w:rPr>
                <w:rStyle w:val="6"/>
                <w:rFonts w:hint="default" w:ascii="Times New Roman" w:hAnsi="Times New Roman" w:eastAsia="方正仿宋_GBK" w:cs="Times New Roman"/>
                <w:i w:val="0"/>
                <w:iCs w:val="0"/>
                <w:color w:val="auto"/>
                <w:sz w:val="20"/>
                <w:szCs w:val="20"/>
                <w:u w:val="none"/>
              </w:rPr>
              <w:t>http://www.yuanling.gov.cn/yuanling/c108888/zfxxgkMultiList.shtml</w:t>
            </w:r>
            <w:r>
              <w:rPr>
                <w:rFonts w:hint="default" w:ascii="Times New Roman" w:hAnsi="Times New Roman" w:eastAsia="方正仿宋_GBK" w:cs="Times New Roman"/>
                <w:i w:val="0"/>
                <w:iCs w:val="0"/>
                <w:color w:val="auto"/>
                <w:sz w:val="20"/>
                <w:szCs w:val="20"/>
                <w:u w:val="none"/>
              </w:rPr>
              <w:fldChar w:fldCharType="end"/>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2750" w:hRule="atLeast"/>
          <w:jc w:val="center"/>
        </w:trPr>
        <w:tc>
          <w:tcPr>
            <w:tcW w:w="5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0"/>
                <w:szCs w:val="20"/>
                <w:u w:val="none"/>
                <w:lang w:val="en-US"/>
              </w:rPr>
            </w:pPr>
            <w:r>
              <w:rPr>
                <w:rFonts w:hint="eastAsia" w:eastAsia="宋体" w:cs="Times New Roman"/>
                <w:i w:val="0"/>
                <w:iCs w:val="0"/>
                <w:color w:val="000000"/>
                <w:kern w:val="0"/>
                <w:sz w:val="20"/>
                <w:szCs w:val="20"/>
                <w:u w:val="none"/>
                <w:lang w:val="en-US" w:eastAsia="zh-CN" w:bidi="ar"/>
              </w:rPr>
              <w:t>10</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建议提案</w:t>
            </w:r>
          </w:p>
        </w:tc>
        <w:tc>
          <w:tcPr>
            <w:tcW w:w="12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人大代表建议和政协提案办理</w:t>
            </w: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对涉及公共利益、公众权益、社会关切及需要社会广泛知晓的省人大代表建议、省政协提案及其答复意见经审查可以公开的</w:t>
            </w:r>
          </w:p>
        </w:tc>
        <w:tc>
          <w:tcPr>
            <w:tcW w:w="30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中华人民共和国全国人民代表大会和地方各级人民代表大会代表法》第五十一条；《中国人民政治协商会议全国委员会提案工作条例》第二十三条；《湖南省人民政府办公厅关于印发〈省人大代表建议和省政协提案办理工作规定〉的通知》（湘政办发〔2017〕41号）第十三条</w:t>
            </w:r>
          </w:p>
        </w:tc>
        <w:tc>
          <w:tcPr>
            <w:tcW w:w="14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政府网站</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snapToGrid w:val="0"/>
                <w:kern w:val="21"/>
                <w:sz w:val="20"/>
                <w:szCs w:val="20"/>
                <w:lang w:val="en-US" w:eastAsia="zh-CN"/>
              </w:rPr>
              <w:t>自该政府信息形成或者变更之日起20个工作日内；省人大代表建议和省政协提案在答复代表和提案者后一个月内开</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Times New Roman" w:hAnsi="Times New Roman" w:eastAsia="方正仿宋_GBK" w:cs="Times New Roman"/>
                <w:i w:val="0"/>
                <w:iCs w:val="0"/>
                <w:color w:val="000000"/>
                <w:sz w:val="20"/>
                <w:szCs w:val="20"/>
                <w:u w:val="none"/>
                <w:lang w:eastAsia="zh-CN"/>
              </w:rPr>
            </w:pPr>
            <w:r>
              <w:rPr>
                <w:rFonts w:hint="eastAsia" w:eastAsia="方正仿宋_GBK" w:cs="Times New Roman"/>
                <w:i w:val="0"/>
                <w:iCs w:val="0"/>
                <w:color w:val="000000"/>
                <w:sz w:val="20"/>
                <w:szCs w:val="20"/>
                <w:u w:val="none"/>
                <w:lang w:eastAsia="zh-CN"/>
              </w:rPr>
              <w:t>办公室</w:t>
            </w:r>
          </w:p>
        </w:tc>
        <w:tc>
          <w:tcPr>
            <w:tcW w:w="18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sz w:val="20"/>
                <w:szCs w:val="20"/>
                <w:u w:val="none"/>
              </w:rPr>
              <w:t>https://www.yuanling.gov.cn/yuanling/c138710/zfxxgkList.shtml</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583" w:hRule="atLeast"/>
          <w:jc w:val="center"/>
        </w:trPr>
        <w:tc>
          <w:tcPr>
            <w:tcW w:w="5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r>
              <w:rPr>
                <w:rFonts w:hint="eastAsia" w:eastAsia="宋体" w:cs="Times New Roman"/>
                <w:i w:val="0"/>
                <w:iCs w:val="0"/>
                <w:color w:val="000000"/>
                <w:kern w:val="0"/>
                <w:sz w:val="20"/>
                <w:szCs w:val="20"/>
                <w:u w:val="none"/>
                <w:lang w:val="en-US" w:eastAsia="zh-CN" w:bidi="ar"/>
              </w:rPr>
              <w:t>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法治政府建设年度报告</w:t>
            </w:r>
          </w:p>
        </w:tc>
        <w:tc>
          <w:tcPr>
            <w:tcW w:w="12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法治政府建设年度报告</w:t>
            </w: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上一年度推进法治政府建设的主要举措和成效、存在的不足和原因，党政主要负责人履行推进法治建设第一责任人职责，加强法治政府建设的有关情况；下一年度推进法治政府建设的主要安排；其他需要报告的情况</w:t>
            </w:r>
          </w:p>
        </w:tc>
        <w:tc>
          <w:tcPr>
            <w:tcW w:w="30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中共中央办公厅 国务院办公厅印发《法治政府建设与责任落实督察工作规定》第二十四条</w:t>
            </w:r>
          </w:p>
        </w:tc>
        <w:tc>
          <w:tcPr>
            <w:tcW w:w="14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政府网站</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每年4月1日之前</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Times New Roman" w:hAnsi="Times New Roman" w:eastAsia="方正仿宋_GBK" w:cs="Times New Roman"/>
                <w:i w:val="0"/>
                <w:iCs w:val="0"/>
                <w:color w:val="000000"/>
                <w:sz w:val="20"/>
                <w:szCs w:val="20"/>
                <w:u w:val="none"/>
                <w:lang w:eastAsia="zh-CN"/>
              </w:rPr>
            </w:pPr>
            <w:r>
              <w:rPr>
                <w:rFonts w:hint="eastAsia" w:eastAsia="方正仿宋_GBK" w:cs="Times New Roman"/>
                <w:i w:val="0"/>
                <w:iCs w:val="0"/>
                <w:color w:val="000000"/>
                <w:sz w:val="20"/>
                <w:szCs w:val="20"/>
                <w:u w:val="none"/>
                <w:lang w:eastAsia="zh-CN"/>
              </w:rPr>
              <w:t>法规股</w:t>
            </w:r>
          </w:p>
        </w:tc>
        <w:tc>
          <w:tcPr>
            <w:tcW w:w="18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sz w:val="20"/>
                <w:szCs w:val="20"/>
                <w:u w:val="none"/>
              </w:rPr>
              <w:t>https://www.yuanling.gov.cn/yuanling/c118841/list2020.shtml</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729" w:hRule="atLeast"/>
          <w:jc w:val="center"/>
        </w:trPr>
        <w:tc>
          <w:tcPr>
            <w:tcW w:w="5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000000"/>
                <w:sz w:val="20"/>
                <w:szCs w:val="20"/>
                <w:u w:val="none"/>
                <w:lang w:val="en-US" w:eastAsia="zh-CN"/>
              </w:rPr>
            </w:pPr>
            <w:r>
              <w:rPr>
                <w:rFonts w:hint="eastAsia" w:eastAsia="宋体" w:cs="Times New Roman"/>
                <w:i w:val="0"/>
                <w:iCs w:val="0"/>
                <w:color w:val="000000"/>
                <w:sz w:val="20"/>
                <w:szCs w:val="20"/>
                <w:u w:val="none"/>
                <w:lang w:val="en-US" w:eastAsia="zh-CN"/>
              </w:rPr>
              <w:t>13</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eastAsia" w:ascii="Times New Roman" w:hAnsi="Times New Roman" w:eastAsia="方正仿宋_GBK" w:cs="Times New Roman"/>
                <w:i w:val="0"/>
                <w:iCs w:val="0"/>
                <w:color w:val="000000"/>
                <w:sz w:val="20"/>
                <w:szCs w:val="20"/>
                <w:u w:val="none"/>
                <w:lang w:eastAsia="zh-CN"/>
              </w:rPr>
            </w:pPr>
            <w:r>
              <w:rPr>
                <w:rFonts w:hint="eastAsia" w:eastAsia="方正仿宋_GBK" w:cs="Times New Roman"/>
                <w:i w:val="0"/>
                <w:iCs w:val="0"/>
                <w:color w:val="000000"/>
                <w:sz w:val="20"/>
                <w:szCs w:val="20"/>
                <w:u w:val="none"/>
                <w:lang w:eastAsia="zh-CN"/>
              </w:rPr>
              <w:t>业务事项</w:t>
            </w:r>
          </w:p>
        </w:tc>
        <w:tc>
          <w:tcPr>
            <w:tcW w:w="12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“高效办成一件事”</w:t>
            </w: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涉及住房和城乡建设系统牵头的“高效办成一件事”办理标准化工作规程和办事指南</w:t>
            </w:r>
          </w:p>
        </w:tc>
        <w:tc>
          <w:tcPr>
            <w:tcW w:w="30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国务院办公厅关于加快推进“一件事一次办”打造政务服务升级版的指导意见》（国办发〔2022〕32号）；《国务院关于进一步优化政务服务提升行政效能推动“高效办成一件事”的指导意见》（国发〔2024〕3号）</w:t>
            </w:r>
          </w:p>
        </w:tc>
        <w:tc>
          <w:tcPr>
            <w:tcW w:w="14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kern w:val="0"/>
                <w:sz w:val="20"/>
                <w:szCs w:val="20"/>
                <w:u w:val="none"/>
                <w:lang w:val="en-US" w:eastAsia="zh-CN" w:bidi="ar"/>
              </w:rPr>
            </w:pPr>
            <w:r>
              <w:rPr>
                <w:rFonts w:hint="default" w:ascii="Times New Roman" w:hAnsi="Times New Roman" w:eastAsia="方正仿宋_GBK" w:cs="Times New Roman"/>
                <w:i w:val="0"/>
                <w:iCs w:val="0"/>
                <w:color w:val="000000"/>
                <w:kern w:val="0"/>
                <w:sz w:val="20"/>
                <w:szCs w:val="20"/>
                <w:u w:val="none"/>
                <w:lang w:val="en-US" w:eastAsia="zh-CN" w:bidi="ar"/>
              </w:rPr>
              <w:t>政府网站</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自该政府信息形成或者变更之日起20个工作日内</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sz w:val="20"/>
                <w:szCs w:val="20"/>
                <w:u w:val="none"/>
                <w:lang w:eastAsia="zh-CN"/>
              </w:rPr>
            </w:pPr>
            <w:r>
              <w:rPr>
                <w:rFonts w:hint="eastAsia" w:eastAsia="方正仿宋_GBK" w:cs="Times New Roman"/>
                <w:i w:val="0"/>
                <w:iCs w:val="0"/>
                <w:color w:val="000000"/>
                <w:sz w:val="20"/>
                <w:szCs w:val="20"/>
                <w:u w:val="none"/>
                <w:lang w:eastAsia="zh-CN"/>
              </w:rPr>
              <w:t>行审股</w:t>
            </w:r>
          </w:p>
        </w:tc>
        <w:tc>
          <w:tcPr>
            <w:tcW w:w="18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auto"/>
                <w:sz w:val="20"/>
                <w:szCs w:val="20"/>
                <w:u w:val="none"/>
              </w:rPr>
              <w:t>https://zwfw-new.hunan.gov.cn/onething/v3/efficientOneThing/efficientOneThing.html</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方正仿宋_GBK" w:cs="Times New Roman"/>
                <w:i w:val="0"/>
                <w:iCs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2140" w:hRule="atLeast"/>
          <w:jc w:val="center"/>
        </w:trPr>
        <w:tc>
          <w:tcPr>
            <w:tcW w:w="59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color w:val="000000"/>
                <w:kern w:val="0"/>
                <w:sz w:val="20"/>
                <w:szCs w:val="20"/>
                <w:u w:val="none"/>
                <w:lang w:val="en-US" w:eastAsia="zh-CN" w:bidi="ar"/>
              </w:rPr>
              <w:t>1</w:t>
            </w:r>
            <w:r>
              <w:rPr>
                <w:rFonts w:hint="eastAsia" w:eastAsia="宋体" w:cs="Times New Roman"/>
                <w:i w:val="0"/>
                <w:iCs w:val="0"/>
                <w:color w:val="000000"/>
                <w:kern w:val="0"/>
                <w:sz w:val="20"/>
                <w:szCs w:val="20"/>
                <w:u w:val="none"/>
                <w:lang w:val="en-US" w:eastAsia="zh-CN" w:bidi="ar"/>
              </w:rPr>
              <w:t>4</w:t>
            </w:r>
          </w:p>
        </w:tc>
        <w:tc>
          <w:tcPr>
            <w:tcW w:w="1104" w:type="dxa"/>
            <w:vMerge w:val="restar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政府信息公开</w:t>
            </w:r>
          </w:p>
        </w:tc>
        <w:tc>
          <w:tcPr>
            <w:tcW w:w="12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政府信息公开指南</w:t>
            </w: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政府信息主动公开、依申请公开有关情况，不予公开的内容，政府信息公开工作机构的名称、办公地址、办公时间、联系电话、传真号码、互联网联系方式等</w:t>
            </w:r>
          </w:p>
        </w:tc>
        <w:tc>
          <w:tcPr>
            <w:tcW w:w="30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《中华人民共和国政府信息公开条例》（国务院令第711号）第十二条</w:t>
            </w:r>
          </w:p>
        </w:tc>
        <w:tc>
          <w:tcPr>
            <w:tcW w:w="14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政府网站</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自该政府信息形成或者变更之日起20个工作日内</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方正仿宋_GBK" w:cs="Times New Roman"/>
                <w:i w:val="0"/>
                <w:iCs w:val="0"/>
                <w:color w:val="000000"/>
                <w:sz w:val="20"/>
                <w:szCs w:val="20"/>
                <w:u w:val="none"/>
                <w:lang w:eastAsia="zh-CN"/>
              </w:rPr>
            </w:pPr>
            <w:r>
              <w:rPr>
                <w:rFonts w:hint="eastAsia" w:eastAsia="方正仿宋_GBK" w:cs="Times New Roman"/>
                <w:i w:val="0"/>
                <w:iCs w:val="0"/>
                <w:color w:val="000000"/>
                <w:sz w:val="20"/>
                <w:szCs w:val="20"/>
                <w:u w:val="none"/>
                <w:lang w:eastAsia="zh-CN"/>
              </w:rPr>
              <w:t>办公室</w:t>
            </w:r>
          </w:p>
        </w:tc>
        <w:tc>
          <w:tcPr>
            <w:tcW w:w="18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sz w:val="20"/>
                <w:szCs w:val="20"/>
                <w:u w:val="none"/>
              </w:rPr>
              <w:t>https://www.yuanling.gov.cn/yuanling/c118845/singleArticle2020.shtml</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方正仿宋_GBK"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261" w:hRule="atLeast"/>
          <w:jc w:val="center"/>
        </w:trPr>
        <w:tc>
          <w:tcPr>
            <w:tcW w:w="59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000000"/>
                <w:sz w:val="20"/>
                <w:szCs w:val="20"/>
                <w:u w:val="none"/>
              </w:rPr>
            </w:pPr>
          </w:p>
        </w:tc>
        <w:tc>
          <w:tcPr>
            <w:tcW w:w="1104" w:type="dxa"/>
            <w:vMerge w:val="continue"/>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default" w:ascii="Times New Roman" w:hAnsi="Times New Roman" w:eastAsia="方正仿宋_GBK" w:cs="Times New Roman"/>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政府信息公开目录</w:t>
            </w: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政府信息主动公开事项目录</w:t>
            </w:r>
          </w:p>
        </w:tc>
        <w:tc>
          <w:tcPr>
            <w:tcW w:w="30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《中华人民共和国政府信息公开条例》（国务院令第711号）第十二条</w:t>
            </w:r>
          </w:p>
        </w:tc>
        <w:tc>
          <w:tcPr>
            <w:tcW w:w="14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政府网站</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自该政府信息形成或者变更之日起20个工作日内</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方正仿宋_GBK" w:cs="Times New Roman"/>
                <w:i w:val="0"/>
                <w:iCs w:val="0"/>
                <w:color w:val="000000"/>
                <w:sz w:val="20"/>
                <w:szCs w:val="20"/>
                <w:u w:val="none"/>
                <w:lang w:eastAsia="zh-CN"/>
              </w:rPr>
            </w:pPr>
            <w:r>
              <w:rPr>
                <w:rFonts w:hint="eastAsia" w:eastAsia="方正仿宋_GBK" w:cs="Times New Roman"/>
                <w:i w:val="0"/>
                <w:iCs w:val="0"/>
                <w:color w:val="000000"/>
                <w:sz w:val="20"/>
                <w:szCs w:val="20"/>
                <w:u w:val="none"/>
                <w:lang w:eastAsia="zh-CN"/>
              </w:rPr>
              <w:t>办公室</w:t>
            </w:r>
          </w:p>
        </w:tc>
        <w:tc>
          <w:tcPr>
            <w:tcW w:w="18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sz w:val="20"/>
                <w:szCs w:val="20"/>
                <w:u w:val="none"/>
              </w:rPr>
              <w:t>https://www.yuanling.gov.cn/yuanling/c138687/fulllist.shtml</w:t>
            </w:r>
            <w:bookmarkStart w:id="0" w:name="_GoBack"/>
            <w:bookmarkEnd w:id="0"/>
          </w:p>
        </w:tc>
        <w:tc>
          <w:tcPr>
            <w:tcW w:w="8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702" w:hRule="atLeast"/>
          <w:jc w:val="center"/>
        </w:trPr>
        <w:tc>
          <w:tcPr>
            <w:tcW w:w="59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000000"/>
                <w:sz w:val="20"/>
                <w:szCs w:val="20"/>
                <w:u w:val="none"/>
              </w:rPr>
            </w:pPr>
          </w:p>
        </w:tc>
        <w:tc>
          <w:tcPr>
            <w:tcW w:w="1104" w:type="dxa"/>
            <w:vMerge w:val="continue"/>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default" w:ascii="Times New Roman" w:hAnsi="Times New Roman" w:eastAsia="方正仿宋_GBK" w:cs="Times New Roman"/>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政府信息公开工作年度报告</w:t>
            </w: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政府信息公开工作年度报告</w:t>
            </w:r>
          </w:p>
        </w:tc>
        <w:tc>
          <w:tcPr>
            <w:tcW w:w="30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《中华人民共和国政府信息公开条例》（国务院令第711号）第四十九条</w:t>
            </w:r>
          </w:p>
        </w:tc>
        <w:tc>
          <w:tcPr>
            <w:tcW w:w="14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政府网站</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每年</w:t>
            </w:r>
            <w:r>
              <w:rPr>
                <w:rStyle w:val="7"/>
                <w:rFonts w:hint="default" w:ascii="Times New Roman" w:hAnsi="Times New Roman" w:eastAsia="方正仿宋_GBK" w:cs="Times New Roman"/>
                <w:lang w:val="en-US" w:eastAsia="zh-CN" w:bidi="ar"/>
              </w:rPr>
              <w:t>1</w:t>
            </w:r>
            <w:r>
              <w:rPr>
                <w:rFonts w:hint="default" w:ascii="Times New Roman" w:hAnsi="Times New Roman" w:eastAsia="方正仿宋_GBK" w:cs="Times New Roman"/>
                <w:i w:val="0"/>
                <w:iCs w:val="0"/>
                <w:color w:val="000000"/>
                <w:kern w:val="0"/>
                <w:sz w:val="20"/>
                <w:szCs w:val="20"/>
                <w:u w:val="none"/>
                <w:lang w:val="en-US" w:eastAsia="zh-CN" w:bidi="ar"/>
              </w:rPr>
              <w:t>月</w:t>
            </w:r>
            <w:r>
              <w:rPr>
                <w:rStyle w:val="7"/>
                <w:rFonts w:hint="default" w:ascii="Times New Roman" w:hAnsi="Times New Roman" w:eastAsia="方正仿宋_GBK" w:cs="Times New Roman"/>
                <w:lang w:val="en-US" w:eastAsia="zh-CN" w:bidi="ar"/>
              </w:rPr>
              <w:t>31</w:t>
            </w:r>
            <w:r>
              <w:rPr>
                <w:rFonts w:hint="default" w:ascii="Times New Roman" w:hAnsi="Times New Roman" w:eastAsia="方正仿宋_GBK" w:cs="Times New Roman"/>
                <w:i w:val="0"/>
                <w:iCs w:val="0"/>
                <w:color w:val="000000"/>
                <w:kern w:val="0"/>
                <w:sz w:val="20"/>
                <w:szCs w:val="20"/>
                <w:u w:val="none"/>
                <w:lang w:val="en-US" w:eastAsia="zh-CN" w:bidi="ar"/>
              </w:rPr>
              <w:t>日前向社会公布</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方正仿宋_GBK" w:cs="Times New Roman"/>
                <w:i w:val="0"/>
                <w:iCs w:val="0"/>
                <w:color w:val="000000"/>
                <w:sz w:val="20"/>
                <w:szCs w:val="20"/>
                <w:u w:val="none"/>
                <w:lang w:eastAsia="zh-CN"/>
              </w:rPr>
            </w:pPr>
            <w:r>
              <w:rPr>
                <w:rFonts w:hint="eastAsia" w:eastAsia="方正仿宋_GBK" w:cs="Times New Roman"/>
                <w:i w:val="0"/>
                <w:iCs w:val="0"/>
                <w:color w:val="000000"/>
                <w:sz w:val="20"/>
                <w:szCs w:val="20"/>
                <w:u w:val="none"/>
                <w:lang w:eastAsia="zh-CN"/>
              </w:rPr>
              <w:t>办公室</w:t>
            </w:r>
          </w:p>
        </w:tc>
        <w:tc>
          <w:tcPr>
            <w:tcW w:w="18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sz w:val="20"/>
                <w:szCs w:val="20"/>
                <w:u w:val="none"/>
              </w:rPr>
              <w:t>https://www.yuanling.gov.cn/yuanling/c118846/list2020.shtml</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2440" w:hRule="atLeast"/>
          <w:jc w:val="center"/>
        </w:trPr>
        <w:tc>
          <w:tcPr>
            <w:tcW w:w="59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000000"/>
                <w:sz w:val="20"/>
                <w:szCs w:val="20"/>
                <w:u w:val="none"/>
              </w:rPr>
            </w:pPr>
          </w:p>
        </w:tc>
        <w:tc>
          <w:tcPr>
            <w:tcW w:w="1104" w:type="dxa"/>
            <w:vMerge w:val="continue"/>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default" w:ascii="Times New Roman" w:hAnsi="Times New Roman" w:eastAsia="方正仿宋_GBK" w:cs="Times New Roman"/>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政府信息公开工作制度</w:t>
            </w:r>
          </w:p>
        </w:tc>
        <w:tc>
          <w:tcPr>
            <w:tcW w:w="1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包括《中华人民共和国政府信息公开条例》，政府信息公开方面的地方性法规、自治条例、单行条例、规章，以及全国政府信息公开工作主管部门发布的法规解释性文件，原则上不包括其他制度文件</w:t>
            </w:r>
          </w:p>
        </w:tc>
        <w:tc>
          <w:tcPr>
            <w:tcW w:w="30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《国务院办公厅政府信息与政务公开办公室关于规范政府信息公开平台有关事项的通知》（国办公开办函〔2019〕61号）第二部分</w:t>
            </w:r>
          </w:p>
        </w:tc>
        <w:tc>
          <w:tcPr>
            <w:tcW w:w="14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政府网站</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自该政府信息形成或者变更之日起20个工作日内</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方正仿宋_GBK" w:cs="Times New Roman"/>
                <w:i w:val="0"/>
                <w:iCs w:val="0"/>
                <w:color w:val="000000"/>
                <w:sz w:val="20"/>
                <w:szCs w:val="20"/>
                <w:u w:val="none"/>
                <w:lang w:eastAsia="zh-CN"/>
              </w:rPr>
            </w:pPr>
            <w:r>
              <w:rPr>
                <w:rFonts w:hint="eastAsia" w:eastAsia="方正仿宋_GBK" w:cs="Times New Roman"/>
                <w:i w:val="0"/>
                <w:iCs w:val="0"/>
                <w:color w:val="000000"/>
                <w:sz w:val="20"/>
                <w:szCs w:val="20"/>
                <w:u w:val="none"/>
                <w:lang w:eastAsia="zh-CN"/>
              </w:rPr>
              <w:t>办公室</w:t>
            </w:r>
          </w:p>
        </w:tc>
        <w:tc>
          <w:tcPr>
            <w:tcW w:w="180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auto"/>
                <w:sz w:val="20"/>
                <w:szCs w:val="20"/>
                <w:u w:val="none"/>
              </w:rPr>
              <w:fldChar w:fldCharType="begin"/>
            </w:r>
            <w:r>
              <w:rPr>
                <w:rFonts w:hint="default" w:ascii="Times New Roman" w:hAnsi="Times New Roman" w:eastAsia="方正仿宋_GBK" w:cs="Times New Roman"/>
                <w:i w:val="0"/>
                <w:iCs w:val="0"/>
                <w:color w:val="auto"/>
                <w:sz w:val="20"/>
                <w:szCs w:val="20"/>
                <w:u w:val="none"/>
              </w:rPr>
              <w:instrText xml:space="preserve"> HYPERLINK "http://www.yuanling.gov.cn/yuanling/c119577/zfxxgkList.shtml" </w:instrText>
            </w:r>
            <w:r>
              <w:rPr>
                <w:rFonts w:hint="default" w:ascii="Times New Roman" w:hAnsi="Times New Roman" w:eastAsia="方正仿宋_GBK" w:cs="Times New Roman"/>
                <w:i w:val="0"/>
                <w:iCs w:val="0"/>
                <w:color w:val="auto"/>
                <w:sz w:val="20"/>
                <w:szCs w:val="20"/>
                <w:u w:val="none"/>
              </w:rPr>
              <w:fldChar w:fldCharType="separate"/>
            </w:r>
            <w:r>
              <w:rPr>
                <w:rStyle w:val="5"/>
                <w:rFonts w:hint="default" w:ascii="Times New Roman" w:hAnsi="Times New Roman" w:eastAsia="方正仿宋_GBK" w:cs="Times New Roman"/>
                <w:i w:val="0"/>
                <w:iCs w:val="0"/>
                <w:color w:val="auto"/>
                <w:sz w:val="20"/>
                <w:szCs w:val="20"/>
                <w:u w:val="none"/>
              </w:rPr>
              <w:t>http://www.yuanling.gov.cn/yuanling/c119577/zfxxgkList.shtml</w:t>
            </w:r>
            <w:r>
              <w:rPr>
                <w:rFonts w:hint="default" w:ascii="Times New Roman" w:hAnsi="Times New Roman" w:eastAsia="方正仿宋_GBK" w:cs="Times New Roman"/>
                <w:i w:val="0"/>
                <w:iCs w:val="0"/>
                <w:color w:val="auto"/>
                <w:sz w:val="20"/>
                <w:szCs w:val="20"/>
                <w:u w:val="none"/>
              </w:rPr>
              <w:fldChar w:fldCharType="end"/>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auto"/>
                <w:sz w:val="20"/>
                <w:szCs w:val="20"/>
                <w:u w:val="none"/>
              </w:rPr>
            </w:pP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2000000000000000000"/>
    <w:charset w:val="86"/>
    <w:family w:val="script"/>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0D43D4"/>
    <w:rsid w:val="20827A42"/>
    <w:rsid w:val="26CE1164"/>
    <w:rsid w:val="303B70B9"/>
    <w:rsid w:val="34726429"/>
    <w:rsid w:val="40FE4A6B"/>
    <w:rsid w:val="4BCD6A94"/>
    <w:rsid w:val="4BEB208F"/>
    <w:rsid w:val="67FB68A8"/>
    <w:rsid w:val="680D43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240" w:lineRule="atLeast"/>
      <w:jc w:val="both"/>
    </w:pPr>
    <w:rPr>
      <w:rFonts w:ascii="Times New Roman" w:hAnsi="Times New Roman" w:eastAsia="仿宋_GB2312" w:cs="Times New Roman"/>
      <w:spacing w:val="-6"/>
      <w:kern w:val="2"/>
      <w:sz w:val="32"/>
      <w:lang w:val="en-US" w:eastAsia="zh-CN" w:bidi="ar-SA"/>
    </w:rPr>
  </w:style>
  <w:style w:type="paragraph" w:styleId="2">
    <w:name w:val="heading 5"/>
    <w:basedOn w:val="1"/>
    <w:next w:val="1"/>
    <w:qFormat/>
    <w:uiPriority w:val="0"/>
    <w:pPr>
      <w:keepNext/>
      <w:keepLines/>
      <w:spacing w:before="280" w:after="290" w:line="374" w:lineRule="auto"/>
      <w:outlineLvl w:val="4"/>
    </w:pPr>
    <w:rPr>
      <w:b/>
      <w:bCs/>
      <w:sz w:val="28"/>
      <w:szCs w:val="28"/>
    </w:rPr>
  </w:style>
  <w:style w:type="character" w:default="1" w:styleId="4">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character" w:styleId="5">
    <w:name w:val="FollowedHyperlink"/>
    <w:basedOn w:val="4"/>
    <w:qFormat/>
    <w:uiPriority w:val="0"/>
    <w:rPr>
      <w:color w:val="800080"/>
      <w:u w:val="single"/>
    </w:rPr>
  </w:style>
  <w:style w:type="character" w:styleId="6">
    <w:name w:val="Hyperlink"/>
    <w:basedOn w:val="4"/>
    <w:qFormat/>
    <w:uiPriority w:val="0"/>
    <w:rPr>
      <w:color w:val="0000FF"/>
      <w:u w:val="single"/>
    </w:rPr>
  </w:style>
  <w:style w:type="character" w:customStyle="1" w:styleId="7">
    <w:name w:val="font101"/>
    <w:basedOn w:val="4"/>
    <w:qFormat/>
    <w:uiPriority w:val="0"/>
    <w:rPr>
      <w:rFonts w:ascii="Calibri" w:hAnsi="Calibri" w:cs="Calibri"/>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3573</Words>
  <Characters>4859</Characters>
  <Lines>0</Lines>
  <Paragraphs>0</Paragraphs>
  <TotalTime>25</TotalTime>
  <ScaleCrop>false</ScaleCrop>
  <LinksUpToDate>false</LinksUpToDate>
  <CharactersWithSpaces>4873</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2025-12-24T11:12:00Z</dcterms:created>
  <dc:creator>I</dc:creator>
  <cp:lastModifiedBy>I</cp:lastModifiedBy>
  <dcterms:modified xsi:type="dcterms:W3CDTF">2025-12-25T12:44:43Z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KSOTemplateDocerSaveRecord">
    <vt:lpwstr>eyJoZGlkIjoiNTkzODUzNjY0MWFlYTQzODkwOWNkOTE2MzI1NGI1M2EiLCJ1c2VySWQiOiI3MzY3Nzc5MjIifQ==</vt:lpwstr>
  </property>
  <property fmtid="{D5CDD505-2E9C-101B-9397-08002B2CF9AE}" pid="4" name="ICV">
    <vt:lpwstr>51F0563D92C742869717E04453137107_13</vt:lpwstr>
  </property>
</Properties>
</file>