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val="0"/>
        <w:overflowPunct w:val="0"/>
        <w:spacing w:line="360" w:lineRule="exact"/>
        <w:jc w:val="center"/>
        <w:rPr>
          <w:rFonts w:hint="default" w:ascii="Times New Roman" w:hAnsi="Times New Roman" w:eastAsia="方正小标宋_GBK" w:cs="Times New Roman"/>
          <w:b w:val="0"/>
          <w:bCs w:val="0"/>
          <w:sz w:val="36"/>
          <w:szCs w:val="36"/>
          <w:lang w:val="en-US" w:eastAsia="zh-CN"/>
        </w:rPr>
      </w:pPr>
      <w:r>
        <w:rPr>
          <w:rFonts w:hint="eastAsia" w:eastAsia="方正小标宋_GBK" w:cs="Times New Roman"/>
          <w:b w:val="0"/>
          <w:bCs w:val="0"/>
          <w:sz w:val="36"/>
          <w:szCs w:val="36"/>
          <w:lang w:val="en-US" w:eastAsia="zh-CN"/>
        </w:rPr>
        <w:t>沅陵县</w:t>
      </w:r>
      <w:r>
        <w:rPr>
          <w:rFonts w:hint="default" w:ascii="Times New Roman" w:hAnsi="Times New Roman" w:eastAsia="方正小标宋_GBK" w:cs="Times New Roman"/>
          <w:b w:val="0"/>
          <w:bCs w:val="0"/>
          <w:sz w:val="36"/>
          <w:szCs w:val="36"/>
          <w:lang w:val="en-US" w:eastAsia="zh-CN"/>
        </w:rPr>
        <w:t>民政</w:t>
      </w:r>
      <w:r>
        <w:rPr>
          <w:rFonts w:hint="eastAsia" w:eastAsia="方正小标宋_GBK" w:cs="Times New Roman"/>
          <w:b w:val="0"/>
          <w:bCs w:val="0"/>
          <w:sz w:val="36"/>
          <w:szCs w:val="36"/>
          <w:lang w:val="en-US" w:eastAsia="zh-CN"/>
        </w:rPr>
        <w:t>局</w:t>
      </w:r>
      <w:r>
        <w:rPr>
          <w:rFonts w:hint="default" w:ascii="Times New Roman" w:hAnsi="Times New Roman" w:eastAsia="方正小标宋_GBK" w:cs="Times New Roman"/>
          <w:b w:val="0"/>
          <w:bCs w:val="0"/>
          <w:sz w:val="36"/>
          <w:szCs w:val="36"/>
          <w:lang w:val="en-US" w:eastAsia="zh-CN"/>
        </w:rPr>
        <w:t>政府信息主动公开事项目录</w:t>
      </w:r>
    </w:p>
    <w:p>
      <w:pPr>
        <w:keepNext w:val="0"/>
        <w:keepLines w:val="0"/>
        <w:pageBreakBefore w:val="0"/>
        <w:kinsoku/>
        <w:wordWrap/>
        <w:topLinePunct w:val="0"/>
        <w:autoSpaceDE/>
        <w:autoSpaceDN/>
        <w:bidi w:val="0"/>
        <w:adjustRightInd/>
        <w:snapToGrid/>
        <w:spacing w:line="360" w:lineRule="exact"/>
        <w:jc w:val="center"/>
        <w:textAlignment w:val="baseline"/>
        <w:rPr>
          <w:rFonts w:hint="default" w:ascii="Times New Roman" w:hAnsi="Times New Roman" w:cs="Times New Roman"/>
          <w:lang w:val="en-US" w:eastAsia="zh-CN"/>
        </w:rPr>
      </w:pPr>
      <w:r>
        <w:rPr>
          <w:rFonts w:hint="default" w:ascii="Times New Roman" w:hAnsi="Times New Roman" w:eastAsia="楷体" w:cs="Times New Roman"/>
          <w:b/>
          <w:bCs/>
          <w:kern w:val="2"/>
          <w:sz w:val="28"/>
          <w:szCs w:val="28"/>
          <w:lang w:val="en-US" w:eastAsia="zh-CN" w:bidi="ar-SA"/>
        </w:rPr>
        <w:t>公开主体</w:t>
      </w:r>
      <w:r>
        <w:rPr>
          <w:rFonts w:hint="eastAsia" w:eastAsia="楷体" w:cs="Times New Roman"/>
          <w:b/>
          <w:bCs/>
          <w:kern w:val="2"/>
          <w:sz w:val="28"/>
          <w:szCs w:val="28"/>
          <w:lang w:val="en-US" w:eastAsia="zh-CN" w:bidi="ar-SA"/>
        </w:rPr>
        <w:t>：沅陵县</w:t>
      </w:r>
      <w:r>
        <w:rPr>
          <w:rFonts w:hint="default" w:ascii="Times New Roman" w:hAnsi="Times New Roman" w:eastAsia="楷体" w:cs="Times New Roman"/>
          <w:b/>
          <w:bCs/>
          <w:kern w:val="2"/>
          <w:sz w:val="28"/>
          <w:szCs w:val="28"/>
          <w:lang w:val="en-US" w:eastAsia="zh-CN" w:bidi="ar-SA"/>
        </w:rPr>
        <w:t>民政</w:t>
      </w:r>
      <w:r>
        <w:rPr>
          <w:rFonts w:hint="eastAsia" w:eastAsia="楷体" w:cs="Times New Roman"/>
          <w:b/>
          <w:bCs/>
          <w:kern w:val="2"/>
          <w:sz w:val="28"/>
          <w:szCs w:val="28"/>
          <w:lang w:val="en-US" w:eastAsia="zh-CN" w:bidi="ar-SA"/>
        </w:rPr>
        <w:t>局</w:t>
      </w:r>
    </w:p>
    <w:tbl>
      <w:tblPr>
        <w:tblStyle w:val="3"/>
        <w:tblW w:w="1408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33"/>
        <w:gridCol w:w="1149"/>
        <w:gridCol w:w="1579"/>
        <w:gridCol w:w="1790"/>
        <w:gridCol w:w="2972"/>
        <w:gridCol w:w="1098"/>
        <w:gridCol w:w="2000"/>
        <w:gridCol w:w="1158"/>
        <w:gridCol w:w="15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90" w:hRule="atLeast"/>
          <w:tblHeader/>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序号</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事项类别</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事项名称</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公开内容</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公开依据</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公开渠道</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公开时限</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000000"/>
                <w:kern w:val="0"/>
                <w:sz w:val="21"/>
                <w:szCs w:val="21"/>
                <w:u w:val="none"/>
                <w:lang w:val="en-US" w:eastAsia="zh-CN" w:bidi="ar"/>
              </w:rPr>
            </w:pPr>
            <w:r>
              <w:rPr>
                <w:rFonts w:hint="default" w:ascii="Times New Roman" w:hAnsi="Times New Roman" w:eastAsia="黑体" w:cs="Times New Roman"/>
                <w:i w:val="0"/>
                <w:iCs w:val="0"/>
                <w:color w:val="000000"/>
                <w:kern w:val="0"/>
                <w:sz w:val="21"/>
                <w:szCs w:val="21"/>
                <w:u w:val="none"/>
                <w:lang w:val="en-US" w:eastAsia="zh-CN" w:bidi="ar"/>
              </w:rPr>
              <w:t>公开责任</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topLinePunct w:val="0"/>
              <w:autoSpaceDE/>
              <w:autoSpaceDN/>
              <w:bidi w:val="0"/>
              <w:spacing w:line="300" w:lineRule="exact"/>
              <w:jc w:val="center"/>
              <w:textAlignment w:val="center"/>
              <w:rPr>
                <w:rFonts w:hint="default" w:ascii="Times New Roman" w:hAnsi="Times New Roman" w:eastAsia="黑体" w:cs="Times New Roman"/>
                <w:i w:val="0"/>
                <w:iCs w:val="0"/>
                <w:color w:val="auto"/>
                <w:kern w:val="0"/>
                <w:sz w:val="21"/>
                <w:szCs w:val="21"/>
                <w:u w:val="none"/>
                <w:lang w:val="en-US" w:eastAsia="zh-CN" w:bidi="ar"/>
              </w:rPr>
            </w:pPr>
            <w:r>
              <w:rPr>
                <w:rFonts w:hint="default" w:ascii="Times New Roman" w:hAnsi="Times New Roman" w:eastAsia="黑体" w:cs="Times New Roman"/>
                <w:i w:val="0"/>
                <w:iCs w:val="0"/>
                <w:color w:val="auto"/>
                <w:kern w:val="0"/>
                <w:sz w:val="21"/>
                <w:szCs w:val="21"/>
                <w:u w:val="none"/>
                <w:lang w:val="en-US" w:eastAsia="zh-CN" w:bidi="ar"/>
              </w:rPr>
              <w:t>链接地址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6" w:hRule="atLeast"/>
        </w:trPr>
        <w:tc>
          <w:tcPr>
            <w:tcW w:w="83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p>
        </w:tc>
        <w:tc>
          <w:tcPr>
            <w:tcW w:w="114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政策文件</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行政规范性文件</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行政规范性文件</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行政审批股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rPr>
              <w:t>https://www.yuanling.gov.cn/yuanling/c108858/zfxxgkMultiList.shtml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690"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其他政策文件</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除行政规范性文件以外的其他可以公开的文件</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行政审批股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https://www.yuanling.gov.cn/yuanling/c118825/list2020.shtml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135" w:hRule="atLeast"/>
        </w:trPr>
        <w:tc>
          <w:tcPr>
            <w:tcW w:w="83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2</w:t>
            </w:r>
          </w:p>
        </w:tc>
        <w:tc>
          <w:tcPr>
            <w:tcW w:w="114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机构概况</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领导信息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单位负责人姓名、职务、主管或分管工作等</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eastAsia"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https://www.yuanling.gov.cn/yuanling/c118824/bmxz_jgzn.shtml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630"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机构信息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依据三定方案确定的机关职能，以及机构设置、办公地址、办公时间、联系方式等</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https://www.yuanling.gov.cn/yuanling/c118824/bmxz_jgzn.shtml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401"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3</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规划计划</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民政领域规划计划</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涉及民政业务职能的中长期计划、年度工作计划信息、计划执行情况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https://www.yuanling.gov.cn/yuanling/c118828/list2020.shtml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801"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4</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政务服务</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民政领域政务服务事项信息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民政领域办理行政许可和其他对外管理服务事项目录，行使事项的依据、条件、程序以及办理结果</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行政许可法》第三十条；《中华人民共和国政府信息公开条例》（国务院令第711号）第二十条；《国务院办公厅关于全面实行行政许可事项清单管理的通知》（国办发〔2022〕2号）第（八）条；《国务院关于建立完善守信联合激励和失信联合惩戒制度加快推进社会诚信建设的指导意见》（国发〔2016〕33号）第（十七）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自该政府信息形成或者变更之日起20个工作日内；行政许可自决定之日起7个工作日内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行政审批股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http://zwfw-new.hunan.gov.cn/onething/service/index.jsp?type=xndtgr&amp;main=1&amp;areacode=431222999000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020"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5</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行政处罚</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民政领域行政处罚信息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民政领域实施行政处罚的依据、条件、程序以及本行政机关认为具有一定社会影响的行政处罚决定</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《中华人民共和国行政处罚法》第五条</w:t>
            </w:r>
            <w:r>
              <w:rPr>
                <w:rFonts w:hint="default" w:ascii="Times New Roman" w:hAnsi="Times New Roman" w:eastAsia="方正仿宋_GBK" w:cs="Times New Roman"/>
                <w:snapToGrid w:val="0"/>
                <w:kern w:val="21"/>
                <w:sz w:val="20"/>
                <w:szCs w:val="20"/>
                <w:lang w:val="en-US" w:eastAsia="zh-CN"/>
              </w:rPr>
              <w:t>、第四十八条</w:t>
            </w: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；《中华人民共和国政府信息公开条例》（国务院令第711号）第二十条；《国务院关于建立完善守信联合激励和失信联合惩戒制度加快推进社会诚信建设的指导意见》（国发〔2016〕33号）第（十七）条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自该政府信息形成或者变更之日起20个工作日内；行政处罚自决定之日起7个工作日内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行政审批股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"https://www.yuanling.gov.cn/yuanling/c119574/zfxxgkIframeMultiList.shtml" </w:instrText>
            </w:r>
            <w:r>
              <w:rPr>
                <w:rFonts w:hint="default" w:ascii="Times New Roman" w:hAnsi="Times New Roman" w:eastAsia="方正仿宋_GBK" w:cs="Times New Roman"/>
                <w:i w:val="0"/>
                <w:iCs w:val="0"/>
                <w:color w:val="auto"/>
                <w:sz w:val="20"/>
                <w:szCs w:val="20"/>
                <w:u w:val="none"/>
              </w:rPr>
              <w:fldChar w:fldCharType="separate"/>
            </w:r>
            <w:r>
              <w:rPr>
                <w:rStyle w:val="5"/>
                <w:rFonts w:hint="default" w:ascii="Times New Roman" w:hAnsi="Times New Roman" w:eastAsia="方正仿宋_GBK" w:cs="Times New Roman"/>
                <w:i w:val="0"/>
                <w:iCs w:val="0"/>
                <w:color w:val="auto"/>
                <w:sz w:val="20"/>
                <w:szCs w:val="20"/>
                <w:u w:val="none"/>
              </w:rPr>
              <w:t>https://www.yuanling.gov.cn/yuanling/c119574/zfxxgkIframeMultiList.shtml</w:t>
            </w:r>
            <w:r>
              <w:rPr>
                <w:rFonts w:hint="default" w:ascii="Times New Roman" w:hAnsi="Times New Roman" w:eastAsia="方正仿宋_GBK" w:cs="Times New Roman"/>
                <w:i w:val="0"/>
                <w:iCs w:val="0"/>
                <w:color w:val="auto"/>
                <w:sz w:val="20"/>
                <w:szCs w:val="20"/>
                <w:u w:val="none"/>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36" w:hRule="atLeast"/>
        </w:trPr>
        <w:tc>
          <w:tcPr>
            <w:tcW w:w="83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6</w:t>
            </w:r>
          </w:p>
        </w:tc>
        <w:tc>
          <w:tcPr>
            <w:tcW w:w="114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财政预算、决算</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预算、决算</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部门预算、决算及执行情况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《中华人民共和国预算法》 第十四条；《中华人民共和国预算法实施条例》第六条；《中华人民共和国政府信息公开条例》（国务院令第711号）第二十条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i w:val="0"/>
                <w:iCs w:val="0"/>
                <w:color w:val="000000"/>
                <w:sz w:val="20"/>
                <w:szCs w:val="20"/>
                <w:u w:val="none"/>
              </w:rPr>
              <w:t>批准（批复）后20日内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规划财务股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"http://www.yuanling.gov.cn/yuanling/c108873/zfxxgkMultiList.shtml"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6"/>
                <w:rFonts w:hint="default" w:ascii="Times New Roman" w:hAnsi="Times New Roman" w:eastAsia="方正仿宋_GBK" w:cs="Times New Roman"/>
                <w:i w:val="0"/>
                <w:iCs w:val="0"/>
                <w:color w:val="auto"/>
                <w:sz w:val="20"/>
                <w:szCs w:val="20"/>
                <w:u w:val="none"/>
              </w:rPr>
              <w:t>http://www.yuanling.gov.cn/yuanling/c108873/zfxxgkMultiList.shtml</w:t>
            </w:r>
            <w:r>
              <w:rPr>
                <w:rFonts w:hint="default" w:ascii="Times New Roman" w:hAnsi="Times New Roman" w:eastAsia="方正仿宋_GBK" w:cs="Times New Roman"/>
                <w:i w:val="0"/>
                <w:iCs w:val="0"/>
                <w:color w:val="auto"/>
                <w:sz w:val="20"/>
                <w:szCs w:val="20"/>
                <w:u w:val="none"/>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26"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“三公”经费</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“三公”经费财政拨款预算总额和分项数额，对增减变化的原因说明</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《中华人民共和国预算法》 第十四条；《中华人民共和国预算法实施条例》第六条；《中华人民共和国政府信息公开条例》（国务院令第711号）第二十条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bookmarkStart w:id="0" w:name="OLE_LINK2"/>
            <w:r>
              <w:rPr>
                <w:rFonts w:hint="default" w:ascii="Times New Roman" w:hAnsi="Times New Roman" w:eastAsia="方正仿宋_GBK" w:cs="Times New Roman"/>
                <w:i w:val="0"/>
                <w:iCs w:val="0"/>
                <w:color w:val="000000"/>
                <w:sz w:val="20"/>
                <w:szCs w:val="20"/>
                <w:u w:val="none"/>
              </w:rPr>
              <w:t>批准（批复）后20日内</w:t>
            </w:r>
            <w:bookmarkEnd w:id="0"/>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规划财务股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"http://www.yuanling.gov.cn/yuanling/c108873/zfxxgkMultiList.shtml"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5"/>
                <w:rFonts w:hint="default" w:ascii="Times New Roman" w:hAnsi="Times New Roman" w:eastAsia="方正仿宋_GBK" w:cs="Times New Roman"/>
                <w:i w:val="0"/>
                <w:iCs w:val="0"/>
                <w:color w:val="auto"/>
                <w:sz w:val="20"/>
                <w:szCs w:val="20"/>
                <w:u w:val="none"/>
              </w:rPr>
              <w:t>http://www.yuanling.gov.cn/yuanling/c108873/zfxxgkMultiList.shtml</w:t>
            </w:r>
            <w:r>
              <w:rPr>
                <w:rFonts w:hint="default" w:ascii="Times New Roman" w:hAnsi="Times New Roman" w:eastAsia="方正仿宋_GBK" w:cs="Times New Roman"/>
                <w:i w:val="0"/>
                <w:iCs w:val="0"/>
                <w:color w:val="auto"/>
                <w:sz w:val="20"/>
                <w:szCs w:val="20"/>
                <w:u w:val="none"/>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96"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 xml:space="preserve">绩效评价 </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 xml:space="preserve"> 按要求将项目支出绩效评价结果编入预算并公开</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《财政部关于印发&lt;项目支出绩效评价管理办法&gt;的通知》（财预〔2020〕10号）第二十八条；《湖南省财政厅关于印发&lt;湖南省预算支出绩效评价管理办法&gt;的通知》（湘财绩〔2020〕7号）第四十二条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规划财务股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fldChar w:fldCharType="begin"/>
            </w:r>
            <w:r>
              <w:rPr>
                <w:rFonts w:hint="default" w:ascii="Times New Roman" w:hAnsi="Times New Roman" w:eastAsia="方正仿宋_GBK" w:cs="Times New Roman"/>
                <w:i w:val="0"/>
                <w:iCs w:val="0"/>
                <w:color w:val="auto"/>
                <w:sz w:val="20"/>
                <w:szCs w:val="20"/>
                <w:u w:val="none"/>
              </w:rPr>
              <w:instrText xml:space="preserve"> HYPERLINK "http://www.yuanling.gov.cn/yuanling/c108873/zfxxgkMultiList.shtml" </w:instrText>
            </w:r>
            <w:r>
              <w:rPr>
                <w:rFonts w:hint="default" w:ascii="Times New Roman" w:hAnsi="Times New Roman" w:eastAsia="方正仿宋_GBK" w:cs="Times New Roman"/>
                <w:i w:val="0"/>
                <w:iCs w:val="0"/>
                <w:color w:val="auto"/>
                <w:sz w:val="20"/>
                <w:szCs w:val="20"/>
                <w:u w:val="none"/>
              </w:rPr>
              <w:fldChar w:fldCharType="separate"/>
            </w:r>
            <w:r>
              <w:rPr>
                <w:rStyle w:val="5"/>
                <w:rFonts w:hint="default" w:ascii="Times New Roman" w:hAnsi="Times New Roman" w:eastAsia="方正仿宋_GBK" w:cs="Times New Roman"/>
                <w:i w:val="0"/>
                <w:iCs w:val="0"/>
                <w:color w:val="auto"/>
                <w:sz w:val="20"/>
                <w:szCs w:val="20"/>
                <w:u w:val="none"/>
              </w:rPr>
              <w:t>http://www.yuanling.gov.cn/yuanling/c108873/zfxxgkMultiList.shtml</w:t>
            </w:r>
            <w:r>
              <w:rPr>
                <w:rFonts w:hint="default" w:ascii="Times New Roman" w:hAnsi="Times New Roman" w:eastAsia="方正仿宋_GBK" w:cs="Times New Roman"/>
                <w:i w:val="0"/>
                <w:iCs w:val="0"/>
                <w:color w:val="auto"/>
                <w:sz w:val="20"/>
                <w:szCs w:val="20"/>
                <w:u w:val="none"/>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01"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7</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政府采购</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政府集中采购项目的实施情况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包括采购项目公告、采购文件、采购项目预算金额、采购结果、采购合同等信息</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采购法》第六十三条；《中华人民共和国预算法》第十四条；《中华人民共和国政府信息公开条例》（国务院令第711号）第二十条；《国务院办公厅关于推进公共资源配置领域政府信息公开的意见》（国办发〔2017〕97号）第二部分第（一）条第4点</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项目办公室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http://www.yuanling.gov.cn/yuanling/c109038/zfxxgkMultiList.shtml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240"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8</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重大建设项目</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民政领域重大建设项目的批准和实施情况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民政领域重大建设项目名称、审批、核准、备案和批准结果信息，实施过程、结果和社会效果等信息</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《中华人民共和国政府信息公开条例》（国务院令第711号）第二十条；《国务院办公厅关于推进重大建设项目批准和实施领域政府信息公开的意见》（国办发〔2017〕94号）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项目办公室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https://www.yuanling.gov.cn/yuanling/c138709/zfxxgkList.shtml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180"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9</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应急管理</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突发公共事件的应急预案、预警信息及应对情况</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民政领域突发公共事件应急预案，发布的预警信息和事件应对情况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《中华人民共和国政府信息公开条例》（国务院令第711号）第二十条；《国务院办公厅关于印发&lt;突发事件应急预案管理办法&gt;的通知》（国办发〔2024〕5号）第二十八条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http://www.yuanling.gov.cn/yuanling/c108888/zfxxgkMultiList.shtml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415"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r>
              <w:rPr>
                <w:rFonts w:hint="eastAsia" w:eastAsia="方正仿宋_GBK" w:cs="Times New Roman"/>
                <w:snapToGrid w:val="0"/>
                <w:kern w:val="21"/>
                <w:sz w:val="20"/>
                <w:szCs w:val="20"/>
                <w:lang w:val="en-US" w:eastAsia="zh-CN" w:bidi="ar-SA"/>
              </w:rPr>
              <w:t>0</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建议提案</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人大代表建议和政协提案办理</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对涉及公共利益、公众权益、社会关切及需要社会广泛知晓的省人大代表建议、省政协提案及其答复意见经审查可以公开的</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全国人民代表大会和地方各级人民代表大会代表法》第五十一条；《中国人民政治协商会议全国委员会提案工作条例》第二十三条；《湖南省人民政府办公厅关于印发〈省人大代表建议和省政协提案办理工作规定〉的通知》（湘政办发〔2017〕41号）第十三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rPr>
              <w:t>自该政府信息形成或者变更之日起20个工作日内；省人大代表建议和省政协提案在答复代表和提案者后一个月内开</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建议提案办理股室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https://www.yuanling.gov.cn/yuanling/c138710/zfxxgkList.shtml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860" w:hRule="atLeast"/>
        </w:trPr>
        <w:tc>
          <w:tcPr>
            <w:tcW w:w="8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r>
              <w:rPr>
                <w:rFonts w:hint="eastAsia" w:eastAsia="方正仿宋_GBK" w:cs="Times New Roman"/>
                <w:snapToGrid w:val="0"/>
                <w:kern w:val="21"/>
                <w:sz w:val="20"/>
                <w:szCs w:val="20"/>
                <w:lang w:val="en-US" w:eastAsia="zh-CN" w:bidi="ar-SA"/>
              </w:rPr>
              <w:t>1</w:t>
            </w:r>
          </w:p>
        </w:tc>
        <w:tc>
          <w:tcPr>
            <w:tcW w:w="114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法治政府建设年度报告</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法治政府建设年度报告</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上一年度推进法治政府建设的主要举措和成效、存在的不足和原因，党政主要负责人履行推进法治建设第一责任人职责，加强法治政府建设的有关情况；下一年度推进法治政府建设的主要安排；其他需要报告的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中共中央办公厅 国务院办公厅印发《法治政府建设与责任落实督察工作规定》第二十四条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每年4月1日之前</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https://www.yuanling.gov.cn/yuanling/c118825/list2020.shtml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7832" w:hRule="atLeast"/>
        </w:trPr>
        <w:tc>
          <w:tcPr>
            <w:tcW w:w="83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r>
              <w:rPr>
                <w:rFonts w:hint="eastAsia" w:eastAsia="方正仿宋_GBK" w:cs="Times New Roman"/>
                <w:snapToGrid w:val="0"/>
                <w:kern w:val="21"/>
                <w:sz w:val="20"/>
                <w:szCs w:val="20"/>
                <w:lang w:val="en-US" w:eastAsia="zh-CN" w:bidi="ar-SA"/>
              </w:rPr>
              <w:t>2</w:t>
            </w:r>
          </w:p>
        </w:tc>
        <w:tc>
          <w:tcPr>
            <w:tcW w:w="1149"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业务事项</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社会救助</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综合业务、最低生活保障、特困人员救助供养和临时救助四类</w:t>
            </w:r>
            <w:r>
              <w:rPr>
                <w:rFonts w:hint="eastAsia" w:eastAsia="方正仿宋_GBK" w:cs="Times New Roman"/>
                <w:snapToGrid w:val="0"/>
                <w:kern w:val="21"/>
                <w:sz w:val="20"/>
                <w:szCs w:val="20"/>
                <w:lang w:val="en-US" w:eastAsia="zh-CN" w:bidi="ar-SA"/>
              </w:rPr>
              <w:t>信息的</w:t>
            </w:r>
            <w:r>
              <w:rPr>
                <w:rFonts w:hint="default" w:ascii="Times New Roman" w:hAnsi="Times New Roman" w:eastAsia="方正仿宋_GBK" w:cs="Times New Roman"/>
                <w:snapToGrid w:val="0"/>
                <w:kern w:val="21"/>
                <w:sz w:val="20"/>
                <w:szCs w:val="20"/>
                <w:lang w:val="en-US" w:eastAsia="zh-CN" w:bidi="ar-SA"/>
              </w:rPr>
              <w:t>政策法规文件、审核审批信息、监督检查信息</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 xml:space="preserve">《社会救助暂行办法》（国务院令第649号） </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社会救助股、养老和儿童福利股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https://www.yuanling.gov.cn/yuanling/c133095/2021jczwgk_gkly.shtml?id=8ae5969286a06a7b0186a06b94120027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025"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行政区划和地名</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行政区划代码变更；地名命名、更名公告</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《地名管理条例》（国务院令第753号）第十四条；《行政区划管理条例实施办法》（民政部令第65号）第十七条</w:t>
            </w:r>
          </w:p>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行政区划代码变更自行政区划变更后1个月内公布；地名信息自批准或报送备案之日起15日内向社会公告</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区划地名股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http://www.yuanling.gov.cn/yuanling/c108824/202504/3d8ab14b0d894e35ba4fe701e39bc307.shtml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30"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社会组织信息</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社会组织设立、变更、注销登记信息，信用信息、活动异常名录和严重违法失信名单</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《社会组织信用信息管理办法》（民政部令第60号）；《湖南省民政厅关于印发&lt;湖南省社会组织信用信息管理办法&gt;的通知》（湘民发〔2023〕41号）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社会组织管理股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https://www.yuanling.gov.cn/yuanling/c118825/list2020.shtml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1700"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养老机构管理</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养老机构备案事项及流程、材料清单等信息；养老机构服务和运营的监督检查情况</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《国务院办公厅关于促进养老托育服务健康发展的意见》（国办发〔2020〕52号）；《养老机构管理办法》（民政部令第66号）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养老和儿童福利股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https://www.yuanling.gov.cn/yuanling/c133095/2021jczwgk_gkly.shtml?id=8ae5969286a06a7b0186a06b94120027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405"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“高效办成一件事”</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涉及民政系统牵头的“高效办成一件事”办理标准化工作规程和办事指南</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国务院办公厅关于加快推进“一件事一次办”打造政务服务升级版的指导意见》（国办发〔2022〕32号）；《国务院关于进一步优化政务服务提升行政效能推动“高效办成一件事”的指导意见》（国发〔2024〕3号）</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行政审批股</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https://zwfw-new.hunan.gov.cn/onething/v3/efficientOneThing/efficientOneThing.html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120" w:hRule="atLeast"/>
        </w:trPr>
        <w:tc>
          <w:tcPr>
            <w:tcW w:w="833"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1</w:t>
            </w:r>
            <w:r>
              <w:rPr>
                <w:rFonts w:hint="eastAsia" w:eastAsia="方正仿宋_GBK" w:cs="Times New Roman"/>
                <w:snapToGrid w:val="0"/>
                <w:kern w:val="21"/>
                <w:sz w:val="20"/>
                <w:szCs w:val="20"/>
                <w:lang w:val="en-US" w:eastAsia="zh-CN" w:bidi="ar-SA"/>
              </w:rPr>
              <w:t>3</w:t>
            </w:r>
            <w:bookmarkStart w:id="1" w:name="_GoBack"/>
            <w:bookmarkEnd w:id="1"/>
          </w:p>
        </w:tc>
        <w:tc>
          <w:tcPr>
            <w:tcW w:w="1149"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w:t>
            </w: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政府信息公开指南</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政府信息主动公开、依申请公开有关情况，不予公开的内容，政府信息公开工作机构的名称、办公地址、办公时间、联系电话、传真号码、互联网联系方式等</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《中华人民共和国政府信息公开条例》（国务院令第711号）第十二条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https://www.yuanling.gov.cn/yuanling/c118829/singleArticle2020.shtml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50"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政府信息公开目录</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政府信息主动公开事项目录</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《中华人民共和国政府信息公开条例》（国务院令第711号）第十二条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https://www.yuanling.gov.cn/yuanling/c138687/fulllist.shtml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365"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政府信息公开工作年度报告</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政府信息公开工作年度报告</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《中华人民共和国政府信息公开条例》（国务院令第711号）第四十九条</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每年1月31日前向社会公布</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snapToGrid w:val="0"/>
                <w:color w:val="auto"/>
                <w:kern w:val="21"/>
                <w:sz w:val="20"/>
                <w:szCs w:val="20"/>
                <w:lang w:val="en-US" w:eastAsia="zh-CN" w:bidi="ar-SA"/>
              </w:rPr>
              <w:t>https://www.yuanling.gov.cn/yuanling/c118830/list2020.shtml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cantSplit/>
          <w:trHeight w:val="2386" w:hRule="atLeast"/>
        </w:trPr>
        <w:tc>
          <w:tcPr>
            <w:tcW w:w="833"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center"/>
              <w:textAlignment w:val="auto"/>
              <w:rPr>
                <w:rFonts w:hint="default" w:ascii="Times New Roman" w:hAnsi="Times New Roman" w:eastAsia="方正仿宋_GBK" w:cs="Times New Roman"/>
                <w:snapToGrid w:val="0"/>
                <w:kern w:val="21"/>
                <w:sz w:val="20"/>
                <w:szCs w:val="20"/>
                <w:lang w:val="en-US" w:eastAsia="zh-CN" w:bidi="ar-SA"/>
              </w:rPr>
            </w:pPr>
          </w:p>
        </w:tc>
        <w:tc>
          <w:tcPr>
            <w:tcW w:w="1149"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left"/>
              <w:textAlignment w:val="auto"/>
              <w:rPr>
                <w:rFonts w:hint="default" w:ascii="Times New Roman" w:hAnsi="Times New Roman" w:eastAsia="方正仿宋_GBK" w:cs="Times New Roman"/>
                <w:snapToGrid w:val="0"/>
                <w:kern w:val="21"/>
                <w:sz w:val="20"/>
                <w:szCs w:val="20"/>
                <w:lang w:val="en-US" w:eastAsia="zh-CN" w:bidi="ar-SA"/>
              </w:rPr>
            </w:pPr>
          </w:p>
        </w:tc>
        <w:tc>
          <w:tcPr>
            <w:tcW w:w="157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政府信息公开工作制度</w:t>
            </w:r>
          </w:p>
        </w:tc>
        <w:tc>
          <w:tcPr>
            <w:tcW w:w="1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240" w:lineRule="auto"/>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包括《中华人民共和国政府信息公开条例》，政府信息公开方面的地方性法规、自治条例、单行条例、规章，以及全国政府信息公开工作主管部门发布的法规解释性文件，原则上不包括其他制度文件</w:t>
            </w:r>
          </w:p>
        </w:tc>
        <w:tc>
          <w:tcPr>
            <w:tcW w:w="29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《国务院办公厅政府信息与政务公开办公室关于规范政府信息公开平台有关事项的通知》（国办公开办函〔2019〕61号）第二部分</w:t>
            </w:r>
          </w:p>
        </w:tc>
        <w:tc>
          <w:tcPr>
            <w:tcW w:w="109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政府网站</w:t>
            </w:r>
          </w:p>
        </w:tc>
        <w:tc>
          <w:tcPr>
            <w:tcW w:w="20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default" w:ascii="Times New Roman" w:hAnsi="Times New Roman" w:eastAsia="方正仿宋_GBK" w:cs="Times New Roman"/>
                <w:snapToGrid w:val="0"/>
                <w:kern w:val="21"/>
                <w:sz w:val="20"/>
                <w:szCs w:val="20"/>
                <w:lang w:val="en-US" w:eastAsia="zh-CN" w:bidi="ar-SA"/>
              </w:rPr>
              <w:t>自该政府信息形成或者变更之日起20个工作日内</w:t>
            </w:r>
          </w:p>
        </w:tc>
        <w:tc>
          <w:tcPr>
            <w:tcW w:w="11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kern w:val="21"/>
                <w:sz w:val="20"/>
                <w:szCs w:val="20"/>
                <w:lang w:val="en-US" w:eastAsia="zh-CN" w:bidi="ar-SA"/>
              </w:rPr>
            </w:pPr>
            <w:r>
              <w:rPr>
                <w:rFonts w:hint="eastAsia" w:eastAsia="方正仿宋_GBK" w:cs="Times New Roman"/>
                <w:snapToGrid w:val="0"/>
                <w:kern w:val="21"/>
                <w:sz w:val="20"/>
                <w:szCs w:val="20"/>
                <w:lang w:val="en-US" w:eastAsia="zh-CN" w:bidi="ar-SA"/>
              </w:rPr>
              <w:t>办公室</w:t>
            </w:r>
          </w:p>
        </w:tc>
        <w:tc>
          <w:tcPr>
            <w:tcW w:w="150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val="0"/>
              <w:topLinePunct w:val="0"/>
              <w:autoSpaceDE/>
              <w:autoSpaceDN/>
              <w:bidi w:val="0"/>
              <w:adjustRightInd w:val="0"/>
              <w:snapToGrid w:val="0"/>
              <w:spacing w:line="300" w:lineRule="exact"/>
              <w:jc w:val="both"/>
              <w:textAlignment w:val="auto"/>
              <w:rPr>
                <w:rFonts w:hint="default" w:ascii="Times New Roman" w:hAnsi="Times New Roman" w:eastAsia="方正仿宋_GBK" w:cs="Times New Roman"/>
                <w:snapToGrid w:val="0"/>
                <w:color w:val="auto"/>
                <w:kern w:val="21"/>
                <w:sz w:val="20"/>
                <w:szCs w:val="20"/>
                <w:lang w:val="en-US" w:eastAsia="zh-CN" w:bidi="ar-SA"/>
              </w:rPr>
            </w:pPr>
            <w:r>
              <w:rPr>
                <w:rFonts w:hint="default" w:ascii="Times New Roman" w:hAnsi="Times New Roman" w:eastAsia="方正仿宋_GBK" w:cs="Times New Roman"/>
                <w:i w:val="0"/>
                <w:iCs w:val="0"/>
                <w:color w:val="auto"/>
                <w:sz w:val="20"/>
                <w:szCs w:val="20"/>
                <w:u w:val="none"/>
              </w:rPr>
              <w:t>http://www.yuanling.gov.cn/yuanling/c119577/zfxxgkList.shtml</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072650"/>
    <w:rsid w:val="208125B6"/>
    <w:rsid w:val="34072650"/>
    <w:rsid w:val="597934A3"/>
    <w:rsid w:val="6C3D7F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paragraph" w:styleId="2">
    <w:name w:val="heading 5"/>
    <w:basedOn w:val="1"/>
    <w:next w:val="1"/>
    <w:qFormat/>
    <w:uiPriority w:val="0"/>
    <w:pPr>
      <w:keepNext/>
      <w:keepLines/>
      <w:spacing w:before="280" w:after="290" w:line="374" w:lineRule="auto"/>
      <w:outlineLvl w:val="4"/>
    </w:pPr>
    <w:rPr>
      <w:b/>
      <w:bCs/>
      <w:sz w:val="28"/>
      <w:szCs w:val="28"/>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character" w:styleId="5">
    <w:name w:val="FollowedHyperlink"/>
    <w:basedOn w:val="4"/>
    <w:qFormat/>
    <w:uiPriority w:val="0"/>
    <w:rPr>
      <w:color w:val="800080"/>
      <w:u w:val="single"/>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2025-12-26T13:40:00Z</dcterms:created>
  <dc:creator>I</dc:creator>
  <cp:lastModifiedBy>I</cp:lastModifiedBy>
  <dcterms:modified xsi:type="dcterms:W3CDTF">2025-12-26T15:19:08Z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