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7BD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jc w:val="both"/>
        <w:rPr>
          <w:rFonts w:ascii="方正小标宋_GBK" w:hAnsi="方正小标宋_GBK" w:eastAsia="方正仿宋_GB2312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附件4</w:t>
      </w:r>
    </w:p>
    <w:p w14:paraId="18AC140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88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5BCFCD9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/>
        <w:jc w:val="center"/>
        <w:rPr>
          <w:rFonts w:ascii="仿宋_GB2312" w:eastAsia="仿宋_GB2312" w:cs="仿宋_GB2312"/>
          <w:color w:val="000000"/>
        </w:rPr>
      </w:pPr>
    </w:p>
    <w:p w14:paraId="577216F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标准粗黑" w:hAnsi="标准粗黑" w:eastAsia="标准粗黑" w:cs="标准粗黑"/>
          <w:color w:val="000000"/>
          <w:sz w:val="32"/>
          <w:szCs w:val="32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一、部门、单位基本情况</w:t>
      </w:r>
    </w:p>
    <w:p w14:paraId="5D6FDB3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7584EDA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内设机构设置：办公室、财务部、人事部、物业管理部、公共机构节能监督管理部、保卫部、公房管理办公室。</w:t>
      </w:r>
    </w:p>
    <w:p w14:paraId="7910310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0C90D18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县机关事务中心编制人数29人。2024年底实际在职人数29人。</w:t>
      </w:r>
    </w:p>
    <w:p w14:paraId="788B275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3C13C8F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沅陵县机关事务中心主要负责县委政府机关事务、安全保卫、后勤保障、国资物业管理，全县政府采购、公共机构节能、办公用房清理、公务车辆调度管理、更新、处置以及全县机关事务业务指导工作等。</w:t>
      </w:r>
    </w:p>
    <w:p w14:paraId="7B135C0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14:paraId="15BC1D5D">
      <w:pPr>
        <w:shd w:val="clear" w:color="auto" w:fill="FFFFFF"/>
        <w:spacing w:line="520" w:lineRule="exact"/>
        <w:ind w:firstLine="641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1.全面加强财务管理工作，确保资金正常运转；2.全面落实公共机构节能及垃圾分类工作；3.对办公用房资源合理配置，完善机关维修管理制度；4.加强公车管理，进一步规范公车管理制度；5.全面提升后勤保障能力，扎实推进机关事务标准化建设。</w:t>
      </w:r>
    </w:p>
    <w:p w14:paraId="4D0E3EE0">
      <w:pPr>
        <w:snapToGrid w:val="0"/>
        <w:spacing w:line="520" w:lineRule="exact"/>
        <w:ind w:firstLine="640"/>
        <w:rPr>
          <w:rFonts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</w:rPr>
        <w:t>二、部门整体支出管理及使用情况</w:t>
      </w:r>
    </w:p>
    <w:p w14:paraId="066F5D3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62D0F5E5">
      <w:pPr>
        <w:shd w:val="clear" w:color="auto" w:fill="FFFFFF"/>
        <w:spacing w:line="520" w:lineRule="exact"/>
        <w:ind w:firstLine="641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2024年部门整体支出总计1567万元，其中：基本支出527.14万元；项目支出</w:t>
      </w:r>
      <w:r>
        <w:rPr>
          <w:rFonts w:ascii="仿宋" w:hAnsi="仿宋" w:eastAsia="仿宋" w:cs="仿宋"/>
          <w:bCs/>
          <w:kern w:val="0"/>
          <w:sz w:val="30"/>
          <w:szCs w:val="30"/>
        </w:rPr>
        <w:t>1039.86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万元。</w:t>
      </w:r>
    </w:p>
    <w:p w14:paraId="12AAAB2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6B2E96B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 w:firstLine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 w14:paraId="48B15EC5">
      <w:pPr>
        <w:shd w:val="clear" w:color="auto" w:fill="FFFFFF"/>
        <w:spacing w:line="520" w:lineRule="exact"/>
        <w:ind w:firstLine="600" w:firstLineChars="200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基本支出共计527.14万元。具体包括人员经费和日常公用经费，情况如下：①工资福利支出347.08万元，其中：工资163.16万元、奖金64.34万元、绩效工资6.56万元、各保险89.29万元、其他23.72万元。②商品和服务支出101.12万元，其中：办公费14.03万元、水电费0.65万元、邮电费5.33万元、差旅费13万元、公务接待费0.28万元、劳务费0.6万元、工会19.21万元、福利费17.52万元、其他交通费19.95万元，其他费用10.54万元。③对个人和家庭的补助78.69万元，其中：抚恤金65.8万元、生活补助8.3万元、奖励金3.19万元。</w:t>
      </w:r>
    </w:p>
    <w:p w14:paraId="12B3DA1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 w:firstLine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 w14:paraId="3C40D631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项目支出共计</w:t>
      </w:r>
      <w:r>
        <w:rPr>
          <w:rFonts w:ascii="仿宋" w:hAnsi="仿宋" w:eastAsia="仿宋" w:cs="仿宋"/>
          <w:bCs/>
          <w:kern w:val="0"/>
          <w:sz w:val="30"/>
          <w:szCs w:val="30"/>
        </w:rPr>
        <w:t>1039.86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</w:rPr>
        <w:t>情况如下：①商品和服务支出 ：办公费49.59万元，水电费5.8万元，邮电费0.72万元，物业费22.4万元，差旅费1.28万元、维修费9.48万元、劳务费307.07万元、公用车运行费262.14万元、其他交通费用221.02万元、其他商品和服务支出78.97万元。②资本性支出：公务用车购置81.4万元。</w:t>
      </w:r>
    </w:p>
    <w:p w14:paraId="49749DE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0BF7ECB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“三公”经费预算执行在控制数内，本单位2024年度“三公”经费预算1万元，实际支出公务接待0.28万元，基本支出无公务用车运行费，无出国考察费。</w:t>
      </w:r>
    </w:p>
    <w:p w14:paraId="7C5E56D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三、政府性基金预算支出情况</w:t>
      </w:r>
    </w:p>
    <w:p w14:paraId="0A9182A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 w14:paraId="185FA5C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四、国有资本经营预算支出情况</w:t>
      </w:r>
    </w:p>
    <w:p w14:paraId="7A9F662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 w14:paraId="1D87827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五、社会保险基金预算支出情况</w:t>
      </w:r>
    </w:p>
    <w:p w14:paraId="35FB6C5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 w14:paraId="74641FD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六、部门整体支出绩效情况</w:t>
      </w:r>
    </w:p>
    <w:p w14:paraId="16695281"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2024年，根据部门整体支出绩效评价指标体系，自评分98分，部门整体支出绩效情况如下：</w:t>
      </w:r>
    </w:p>
    <w:p w14:paraId="11CEAF90"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预算配置控制较好。财政供养人员控制在预算编制以内，编制内在职人员控制率100%；“三公”经费预算支出在控制数内。</w:t>
      </w:r>
    </w:p>
    <w:p w14:paraId="5ED50F2A"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预算执行比较到位。支出总额决算数完成预算总额100%。对于单位的政府采购项目，凡单位购买属于政府采购范围内的货物、工程和服务，严格遵守政府采购相关法律法规的规定办理相关审批手续，政府采购执行率达到100%。</w:t>
      </w:r>
    </w:p>
    <w:p w14:paraId="2C923BE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七、存在的问题及原因分析</w:t>
      </w:r>
    </w:p>
    <w:p w14:paraId="1ACF830A">
      <w:pPr>
        <w:snapToGrid w:val="0"/>
        <w:spacing w:line="520" w:lineRule="exact"/>
        <w:ind w:firstLine="588" w:firstLineChars="196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资金使用不及时。在绩效评价汇总过程中，配套资金不能及时到位，致使项目不能如期完成。</w:t>
      </w:r>
    </w:p>
    <w:p w14:paraId="45D1413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八、下一步改进措施</w:t>
      </w:r>
    </w:p>
    <w:p w14:paraId="55642D3F">
      <w:pPr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1、进一步提高资金的拨付与使用效率。切实规范专项资金拨付管理，提高资金使用效率。</w:t>
      </w:r>
    </w:p>
    <w:p w14:paraId="0FC94778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2、进一步加强资金使用管理。不断完善预算管理与预算执行，进一步规范资金的管理和使用，确保资金安全有效，严格专项资金的专款专用，使资金使用效率进一步提高。</w:t>
      </w:r>
    </w:p>
    <w:p w14:paraId="48EB6F9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九、其他需要说明的情况</w:t>
      </w:r>
    </w:p>
    <w:p w14:paraId="6F7F8D0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7F4AC7-AB14-436E-BD6C-9B2B7638AF47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8A70F7-A9BC-48D2-805F-B2F7F6433F77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66E637F-C893-44BE-8B3A-99CB321B496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3F1F953-08CE-4E65-A46B-42D9CE99C7CF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D9379B1-686D-4F67-BA48-7CBCD81CB8C9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fontKey="{43719F19-73C6-498B-9F9D-EFE7188E84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648BBAD-74A9-4D04-86D8-8AF7FD635EDC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DC707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2381CB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381CB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3384A"/>
    <w:rsid w:val="0008282A"/>
    <w:rsid w:val="00224590"/>
    <w:rsid w:val="00242CED"/>
    <w:rsid w:val="00255748"/>
    <w:rsid w:val="00497B39"/>
    <w:rsid w:val="004E36B0"/>
    <w:rsid w:val="00681F2C"/>
    <w:rsid w:val="007454CF"/>
    <w:rsid w:val="00903116"/>
    <w:rsid w:val="00953601"/>
    <w:rsid w:val="00A043FB"/>
    <w:rsid w:val="00B33563"/>
    <w:rsid w:val="00C3197F"/>
    <w:rsid w:val="00C32D78"/>
    <w:rsid w:val="00EB26F0"/>
    <w:rsid w:val="00EF1C38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3E2079BB"/>
    <w:rsid w:val="419B2857"/>
    <w:rsid w:val="41D71DA8"/>
    <w:rsid w:val="45D249F5"/>
    <w:rsid w:val="4C6611ED"/>
    <w:rsid w:val="4DEF7A42"/>
    <w:rsid w:val="552A0475"/>
    <w:rsid w:val="578D10CB"/>
    <w:rsid w:val="5A5915AC"/>
    <w:rsid w:val="6A12486A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link w:val="5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1453</Characters>
  <Lines>10</Lines>
  <Paragraphs>2</Paragraphs>
  <TotalTime>350</TotalTime>
  <ScaleCrop>false</ScaleCrop>
  <LinksUpToDate>false</LinksUpToDate>
  <CharactersWithSpaces>1456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2025-05-21T09:01:00Z</dcterms:created>
  <dc:creator>1402836399</dc:creator>
  <cp:lastModifiedBy>Administrator</cp:lastModifiedBy>
  <cp:lastPrinted>2024-02-26T03:24:00Z</cp:lastPrinted>
  <dcterms:modified xsi:type="dcterms:W3CDTF">2025-10-29T07:09:06Z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6672BF389BD24DEF94EB7DFC56FD6C75_13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