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val="0"/>
        <w:overflowPunct w:val="0"/>
        <w:spacing w:line="360" w:lineRule="exact"/>
        <w:jc w:val="center"/>
        <w:rPr>
          <w:rFonts w:hint="default" w:ascii="Times New Roman" w:hAnsi="Times New Roman" w:eastAsia="方正小标宋_GBK" w:cs="Times New Roman"/>
          <w:b w:val="0"/>
          <w:bCs w:val="0"/>
          <w:sz w:val="36"/>
          <w:szCs w:val="36"/>
          <w:lang w:val="en-US" w:eastAsia="zh-CN"/>
        </w:rPr>
      </w:pPr>
      <w:r>
        <w:rPr>
          <w:rFonts w:hint="eastAsia" w:eastAsia="方正小标宋_GBK" w:cs="Times New Roman"/>
          <w:b w:val="0"/>
          <w:bCs w:val="0"/>
          <w:sz w:val="36"/>
          <w:szCs w:val="36"/>
          <w:lang w:val="en-US" w:eastAsia="zh-CN"/>
        </w:rPr>
        <w:t>沅陵县</w:t>
      </w:r>
      <w:r>
        <w:rPr>
          <w:rFonts w:hint="default" w:ascii="Times New Roman" w:hAnsi="Times New Roman" w:eastAsia="方正小标宋_GBK" w:cs="Times New Roman"/>
          <w:b w:val="0"/>
          <w:bCs w:val="0"/>
          <w:sz w:val="36"/>
          <w:szCs w:val="36"/>
          <w:lang w:val="en-US" w:eastAsia="zh-CN"/>
        </w:rPr>
        <w:t>医疗保障</w:t>
      </w:r>
      <w:r>
        <w:rPr>
          <w:rFonts w:hint="eastAsia" w:eastAsia="方正小标宋_GBK" w:cs="Times New Roman"/>
          <w:b w:val="0"/>
          <w:bCs w:val="0"/>
          <w:sz w:val="36"/>
          <w:szCs w:val="36"/>
          <w:lang w:val="en-US" w:eastAsia="zh-CN"/>
        </w:rPr>
        <w:t>局</w:t>
      </w:r>
      <w:r>
        <w:rPr>
          <w:rFonts w:hint="default" w:ascii="Times New Roman" w:hAnsi="Times New Roman" w:eastAsia="方正小标宋_GBK" w:cs="Times New Roman"/>
          <w:b w:val="0"/>
          <w:bCs w:val="0"/>
          <w:sz w:val="36"/>
          <w:szCs w:val="36"/>
          <w:lang w:val="en-US" w:eastAsia="zh-CN"/>
        </w:rPr>
        <w:t>政府信息主动公开事项目录</w:t>
      </w:r>
    </w:p>
    <w:p>
      <w:pPr>
        <w:keepNext w:val="0"/>
        <w:keepLines w:val="0"/>
        <w:widowControl/>
        <w:suppressLineNumbers w:val="0"/>
        <w:spacing w:line="360" w:lineRule="exact"/>
        <w:jc w:val="center"/>
        <w:textAlignment w:val="baseline"/>
        <w:rPr>
          <w:rFonts w:hint="default" w:ascii="Times New Roman" w:hAnsi="Times New Roman" w:eastAsia="楷体" w:cs="Times New Roman"/>
          <w:b/>
          <w:bCs/>
          <w:i w:val="0"/>
          <w:iCs w:val="0"/>
          <w:color w:val="000000"/>
          <w:kern w:val="0"/>
          <w:sz w:val="28"/>
          <w:szCs w:val="28"/>
          <w:u w:val="none"/>
          <w:lang w:val="en-US" w:eastAsia="zh-CN" w:bidi="ar"/>
        </w:rPr>
      </w:pPr>
      <w:r>
        <w:rPr>
          <w:rFonts w:hint="default" w:ascii="Times New Roman" w:hAnsi="Times New Roman" w:eastAsia="楷体" w:cs="Times New Roman"/>
          <w:b/>
          <w:bCs/>
          <w:kern w:val="2"/>
          <w:sz w:val="28"/>
          <w:szCs w:val="28"/>
          <w:lang w:val="en-US" w:eastAsia="zh-CN" w:bidi="ar-SA"/>
        </w:rPr>
        <w:t>公开主体：</w:t>
      </w:r>
      <w:r>
        <w:rPr>
          <w:rFonts w:hint="eastAsia" w:eastAsia="楷体" w:cs="Times New Roman"/>
          <w:b/>
          <w:bCs/>
          <w:kern w:val="2"/>
          <w:sz w:val="28"/>
          <w:szCs w:val="28"/>
          <w:lang w:val="en-US" w:eastAsia="zh-CN" w:bidi="ar-SA"/>
        </w:rPr>
        <w:t>沅陵县</w:t>
      </w:r>
      <w:r>
        <w:rPr>
          <w:rFonts w:hint="default" w:ascii="Times New Roman" w:hAnsi="Times New Roman" w:eastAsia="楷体" w:cs="Times New Roman"/>
          <w:b/>
          <w:bCs/>
          <w:kern w:val="2"/>
          <w:sz w:val="28"/>
          <w:szCs w:val="28"/>
          <w:lang w:val="en-US" w:eastAsia="zh-CN" w:bidi="ar-SA"/>
        </w:rPr>
        <w:t>医疗保障</w:t>
      </w:r>
      <w:r>
        <w:rPr>
          <w:rFonts w:hint="eastAsia" w:eastAsia="楷体" w:cs="Times New Roman"/>
          <w:b/>
          <w:bCs/>
          <w:kern w:val="2"/>
          <w:sz w:val="28"/>
          <w:szCs w:val="28"/>
          <w:lang w:val="en-US" w:eastAsia="zh-CN" w:bidi="ar-SA"/>
        </w:rPr>
        <w:t>局</w:t>
      </w:r>
    </w:p>
    <w:tbl>
      <w:tblPr>
        <w:tblStyle w:val="3"/>
        <w:tblW w:w="14115" w:type="dxa"/>
        <w:tblInd w:w="2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96"/>
        <w:gridCol w:w="1158"/>
        <w:gridCol w:w="1331"/>
        <w:gridCol w:w="1860"/>
        <w:gridCol w:w="3390"/>
        <w:gridCol w:w="1080"/>
        <w:gridCol w:w="1950"/>
        <w:gridCol w:w="1140"/>
        <w:gridCol w:w="14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90" w:hRule="atLeast"/>
          <w:tblHeader/>
        </w:trPr>
        <w:tc>
          <w:tcPr>
            <w:tcW w:w="796"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sz w:val="21"/>
                <w:szCs w:val="21"/>
                <w:u w:val="none"/>
              </w:rPr>
            </w:pPr>
            <w:r>
              <w:rPr>
                <w:rStyle w:val="5"/>
                <w:rFonts w:hint="default" w:ascii="Times New Roman" w:hAnsi="Times New Roman" w:eastAsia="黑体" w:cs="Times New Roman"/>
                <w:sz w:val="21"/>
                <w:szCs w:val="21"/>
                <w:lang w:val="en-US" w:eastAsia="zh-CN" w:bidi="ar"/>
              </w:rPr>
              <w:t>序号</w:t>
            </w:r>
          </w:p>
        </w:tc>
        <w:tc>
          <w:tcPr>
            <w:tcW w:w="1158"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sz w:val="21"/>
                <w:szCs w:val="21"/>
                <w:u w:val="none"/>
              </w:rPr>
            </w:pPr>
            <w:r>
              <w:rPr>
                <w:rStyle w:val="5"/>
                <w:rFonts w:hint="default" w:ascii="Times New Roman" w:hAnsi="Times New Roman" w:eastAsia="黑体" w:cs="Times New Roman"/>
                <w:sz w:val="21"/>
                <w:szCs w:val="21"/>
                <w:lang w:val="en-US" w:eastAsia="zh-CN" w:bidi="ar"/>
              </w:rPr>
              <w:t>事项类别</w:t>
            </w:r>
          </w:p>
        </w:tc>
        <w:tc>
          <w:tcPr>
            <w:tcW w:w="1331"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sz w:val="21"/>
                <w:szCs w:val="21"/>
                <w:u w:val="none"/>
              </w:rPr>
            </w:pPr>
            <w:r>
              <w:rPr>
                <w:rStyle w:val="5"/>
                <w:rFonts w:hint="default" w:ascii="Times New Roman" w:hAnsi="Times New Roman" w:eastAsia="黑体" w:cs="Times New Roman"/>
                <w:sz w:val="21"/>
                <w:szCs w:val="21"/>
                <w:lang w:val="en-US" w:eastAsia="zh-CN" w:bidi="ar"/>
              </w:rPr>
              <w:t>事项名称</w:t>
            </w:r>
          </w:p>
        </w:tc>
        <w:tc>
          <w:tcPr>
            <w:tcW w:w="1860"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sz w:val="21"/>
                <w:szCs w:val="21"/>
                <w:u w:val="none"/>
              </w:rPr>
            </w:pPr>
            <w:r>
              <w:rPr>
                <w:rStyle w:val="5"/>
                <w:rFonts w:hint="default" w:ascii="Times New Roman" w:hAnsi="Times New Roman" w:eastAsia="黑体" w:cs="Times New Roman"/>
                <w:sz w:val="21"/>
                <w:szCs w:val="21"/>
                <w:lang w:val="en-US" w:eastAsia="zh-CN" w:bidi="ar"/>
              </w:rPr>
              <w:t>公开内容</w:t>
            </w:r>
          </w:p>
        </w:tc>
        <w:tc>
          <w:tcPr>
            <w:tcW w:w="3390"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sz w:val="21"/>
                <w:szCs w:val="21"/>
                <w:u w:val="none"/>
              </w:rPr>
            </w:pPr>
            <w:r>
              <w:rPr>
                <w:rStyle w:val="5"/>
                <w:rFonts w:hint="default" w:ascii="Times New Roman" w:hAnsi="Times New Roman" w:eastAsia="黑体" w:cs="Times New Roman"/>
                <w:sz w:val="21"/>
                <w:szCs w:val="21"/>
                <w:lang w:val="en-US" w:eastAsia="zh-CN" w:bidi="ar"/>
              </w:rPr>
              <w:t>公开依据</w:t>
            </w:r>
          </w:p>
        </w:tc>
        <w:tc>
          <w:tcPr>
            <w:tcW w:w="1080"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sz w:val="21"/>
                <w:szCs w:val="21"/>
                <w:u w:val="none"/>
              </w:rPr>
            </w:pPr>
            <w:r>
              <w:rPr>
                <w:rStyle w:val="5"/>
                <w:rFonts w:hint="default" w:ascii="Times New Roman" w:hAnsi="Times New Roman" w:eastAsia="黑体" w:cs="Times New Roman"/>
                <w:sz w:val="21"/>
                <w:szCs w:val="21"/>
                <w:lang w:val="en-US" w:eastAsia="zh-CN" w:bidi="ar"/>
              </w:rPr>
              <w:t>公开渠道</w:t>
            </w:r>
          </w:p>
        </w:tc>
        <w:tc>
          <w:tcPr>
            <w:tcW w:w="1950"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sz w:val="21"/>
                <w:szCs w:val="21"/>
                <w:u w:val="none"/>
              </w:rPr>
            </w:pPr>
            <w:r>
              <w:rPr>
                <w:rStyle w:val="5"/>
                <w:rFonts w:hint="default" w:ascii="Times New Roman" w:hAnsi="Times New Roman" w:eastAsia="黑体" w:cs="Times New Roman"/>
                <w:sz w:val="21"/>
                <w:szCs w:val="21"/>
                <w:lang w:val="en-US" w:eastAsia="zh-CN" w:bidi="ar"/>
              </w:rPr>
              <w:t>公开时限</w:t>
            </w:r>
          </w:p>
        </w:tc>
        <w:tc>
          <w:tcPr>
            <w:tcW w:w="1140"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sz w:val="21"/>
                <w:szCs w:val="21"/>
                <w:u w:val="none"/>
              </w:rPr>
            </w:pPr>
            <w:r>
              <w:rPr>
                <w:rStyle w:val="5"/>
                <w:rFonts w:hint="default" w:ascii="Times New Roman" w:hAnsi="Times New Roman" w:eastAsia="黑体" w:cs="Times New Roman"/>
                <w:sz w:val="21"/>
                <w:szCs w:val="21"/>
                <w:lang w:val="en-US" w:eastAsia="zh-CN" w:bidi="ar"/>
              </w:rPr>
              <w:t>公开责任</w:t>
            </w:r>
          </w:p>
        </w:tc>
        <w:tc>
          <w:tcPr>
            <w:tcW w:w="1410"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auto"/>
                <w:sz w:val="21"/>
                <w:szCs w:val="21"/>
                <w:u w:val="none"/>
              </w:rPr>
            </w:pPr>
            <w:r>
              <w:rPr>
                <w:rStyle w:val="5"/>
                <w:rFonts w:hint="default" w:ascii="Times New Roman" w:hAnsi="Times New Roman" w:eastAsia="黑体" w:cs="Times New Roman"/>
                <w:color w:val="auto"/>
                <w:sz w:val="21"/>
                <w:szCs w:val="21"/>
                <w:lang w:val="en-US" w:eastAsia="zh-CN" w:bidi="ar"/>
              </w:rPr>
              <w:t>链接地址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1065" w:hRule="atLeast"/>
        </w:trPr>
        <w:tc>
          <w:tcPr>
            <w:tcW w:w="79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158"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政策文件</w:t>
            </w:r>
          </w:p>
        </w:tc>
        <w:tc>
          <w:tcPr>
            <w:tcW w:w="13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行政规范性文件</w:t>
            </w:r>
          </w:p>
        </w:tc>
        <w:tc>
          <w:tcPr>
            <w:tcW w:w="18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行政规范性文件</w:t>
            </w:r>
          </w:p>
        </w:tc>
        <w:tc>
          <w:tcPr>
            <w:tcW w:w="33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w:t>
            </w:r>
            <w:r>
              <w:rPr>
                <w:rStyle w:val="6"/>
                <w:rFonts w:hint="default" w:ascii="Times New Roman" w:hAnsi="Times New Roman" w:eastAsia="方正仿宋_GBK" w:cs="Times New Roman"/>
                <w:lang w:val="en-US" w:eastAsia="zh-CN" w:bidi="ar"/>
              </w:rPr>
              <w:t>711</w:t>
            </w:r>
            <w:r>
              <w:rPr>
                <w:rFonts w:hint="default" w:ascii="Times New Roman" w:hAnsi="Times New Roman" w:eastAsia="方正仿宋_GBK" w:cs="Times New Roman"/>
                <w:i w:val="0"/>
                <w:iCs w:val="0"/>
                <w:color w:val="000000"/>
                <w:kern w:val="0"/>
                <w:sz w:val="20"/>
                <w:szCs w:val="20"/>
                <w:u w:val="none"/>
                <w:lang w:val="en-US" w:eastAsia="zh-CN" w:bidi="ar"/>
              </w:rPr>
              <w:t>号）第二十条</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1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w:t>
            </w:r>
            <w:r>
              <w:rPr>
                <w:rStyle w:val="6"/>
                <w:rFonts w:hint="default" w:ascii="Times New Roman" w:hAnsi="Times New Roman" w:eastAsia="方正仿宋_GBK" w:cs="Times New Roman"/>
                <w:lang w:val="en-US" w:eastAsia="zh-CN" w:bidi="ar"/>
              </w:rPr>
              <w:t>20</w:t>
            </w:r>
            <w:r>
              <w:rPr>
                <w:rFonts w:hint="default" w:ascii="Times New Roman" w:hAnsi="Times New Roman" w:eastAsia="方正仿宋_GBK" w:cs="Times New Roman"/>
                <w:i w:val="0"/>
                <w:iCs w:val="0"/>
                <w:color w:val="000000"/>
                <w:kern w:val="0"/>
                <w:sz w:val="20"/>
                <w:szCs w:val="20"/>
                <w:u w:val="none"/>
                <w:lang w:val="en-US" w:eastAsia="zh-CN" w:bidi="ar"/>
              </w:rPr>
              <w:t>个工作日内</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eastAsia" w:ascii="Times New Roman" w:hAnsi="Times New Roman" w:eastAsia="方正仿宋_GBK" w:cs="Times New Roman"/>
                <w:i w:val="0"/>
                <w:iCs w:val="0"/>
                <w:color w:val="000000"/>
                <w:sz w:val="20"/>
                <w:szCs w:val="20"/>
                <w:u w:val="none"/>
                <w:lang w:eastAsia="zh-CN"/>
              </w:rPr>
            </w:pPr>
            <w:r>
              <w:rPr>
                <w:rFonts w:hint="eastAsia" w:eastAsia="方正仿宋_GBK" w:cs="Times New Roman"/>
                <w:i w:val="0"/>
                <w:iCs w:val="0"/>
                <w:color w:val="000000"/>
                <w:sz w:val="20"/>
                <w:szCs w:val="20"/>
                <w:u w:val="none"/>
                <w:lang w:eastAsia="zh-CN"/>
              </w:rPr>
              <w:t>办公室</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auto"/>
                <w:sz w:val="20"/>
                <w:szCs w:val="20"/>
                <w:u w:val="none"/>
              </w:rPr>
            </w:pPr>
            <w:r>
              <w:rPr>
                <w:rFonts w:hint="default" w:ascii="Times New Roman" w:hAnsi="Times New Roman" w:eastAsia="方正仿宋_GBK" w:cs="Times New Roman"/>
                <w:i w:val="0"/>
                <w:iCs w:val="0"/>
                <w:color w:val="auto"/>
                <w:sz w:val="20"/>
                <w:szCs w:val="20"/>
                <w:u w:val="none"/>
              </w:rPr>
              <w:t>https://www.yuanling.gov.cn/yuanling/c108858/zfxxgkMultiList.shtml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1101" w:hRule="atLeast"/>
        </w:trPr>
        <w:tc>
          <w:tcPr>
            <w:tcW w:w="79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1158"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rPr>
            </w:pPr>
          </w:p>
        </w:tc>
        <w:tc>
          <w:tcPr>
            <w:tcW w:w="13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其他政策文件</w:t>
            </w:r>
          </w:p>
        </w:tc>
        <w:tc>
          <w:tcPr>
            <w:tcW w:w="18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除行政规范性文件以外的其他可以公开的文件</w:t>
            </w:r>
          </w:p>
        </w:tc>
        <w:tc>
          <w:tcPr>
            <w:tcW w:w="33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w:t>
            </w:r>
            <w:r>
              <w:rPr>
                <w:rStyle w:val="6"/>
                <w:rFonts w:hint="default" w:ascii="Times New Roman" w:hAnsi="Times New Roman" w:eastAsia="方正仿宋_GBK" w:cs="Times New Roman"/>
                <w:lang w:val="en-US" w:eastAsia="zh-CN" w:bidi="ar"/>
              </w:rPr>
              <w:t>711</w:t>
            </w:r>
            <w:r>
              <w:rPr>
                <w:rFonts w:hint="default" w:ascii="Times New Roman" w:hAnsi="Times New Roman" w:eastAsia="方正仿宋_GBK" w:cs="Times New Roman"/>
                <w:i w:val="0"/>
                <w:iCs w:val="0"/>
                <w:color w:val="000000"/>
                <w:kern w:val="0"/>
                <w:sz w:val="20"/>
                <w:szCs w:val="20"/>
                <w:u w:val="none"/>
                <w:lang w:val="en-US" w:eastAsia="zh-CN" w:bidi="ar"/>
              </w:rPr>
              <w:t>号）第二十条</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1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w:t>
            </w:r>
            <w:r>
              <w:rPr>
                <w:rStyle w:val="6"/>
                <w:rFonts w:hint="default" w:ascii="Times New Roman" w:hAnsi="Times New Roman" w:eastAsia="方正仿宋_GBK" w:cs="Times New Roman"/>
                <w:lang w:val="en-US" w:eastAsia="zh-CN" w:bidi="ar"/>
              </w:rPr>
              <w:t>20</w:t>
            </w:r>
            <w:r>
              <w:rPr>
                <w:rFonts w:hint="default" w:ascii="Times New Roman" w:hAnsi="Times New Roman" w:eastAsia="方正仿宋_GBK" w:cs="Times New Roman"/>
                <w:i w:val="0"/>
                <w:iCs w:val="0"/>
                <w:color w:val="000000"/>
                <w:kern w:val="0"/>
                <w:sz w:val="20"/>
                <w:szCs w:val="20"/>
                <w:u w:val="none"/>
                <w:lang w:val="en-US" w:eastAsia="zh-CN" w:bidi="ar"/>
              </w:rPr>
              <w:t>个工作日内</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eastAsia" w:eastAsia="方正仿宋_GBK" w:cs="Times New Roman"/>
                <w:i w:val="0"/>
                <w:iCs w:val="0"/>
                <w:color w:val="000000"/>
                <w:sz w:val="20"/>
                <w:szCs w:val="20"/>
                <w:u w:val="none"/>
                <w:lang w:eastAsia="zh-CN"/>
              </w:rPr>
              <w:t>办公室</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auto"/>
                <w:sz w:val="20"/>
                <w:szCs w:val="20"/>
                <w:u w:val="none"/>
              </w:rPr>
            </w:pPr>
            <w:r>
              <w:rPr>
                <w:rFonts w:hint="default" w:ascii="Times New Roman" w:hAnsi="Times New Roman" w:eastAsia="方正仿宋_GBK" w:cs="Times New Roman"/>
                <w:i w:val="0"/>
                <w:iCs w:val="0"/>
                <w:color w:val="auto"/>
                <w:sz w:val="20"/>
                <w:szCs w:val="20"/>
                <w:u w:val="none"/>
              </w:rPr>
              <w:t>https://www.yuanling.gov.cn/yuanling/c119236/list2020.shtml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1065" w:hRule="atLeast"/>
        </w:trPr>
        <w:tc>
          <w:tcPr>
            <w:tcW w:w="79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w:t>
            </w:r>
          </w:p>
        </w:tc>
        <w:tc>
          <w:tcPr>
            <w:tcW w:w="1158" w:type="dxa"/>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机构概况</w:t>
            </w:r>
          </w:p>
        </w:tc>
        <w:tc>
          <w:tcPr>
            <w:tcW w:w="13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领导信息</w:t>
            </w:r>
          </w:p>
        </w:tc>
        <w:tc>
          <w:tcPr>
            <w:tcW w:w="18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单位负责人姓名、职务、主管或分管工作等</w:t>
            </w:r>
          </w:p>
        </w:tc>
        <w:tc>
          <w:tcPr>
            <w:tcW w:w="33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w:t>
            </w:r>
            <w:r>
              <w:rPr>
                <w:rStyle w:val="6"/>
                <w:rFonts w:hint="default" w:ascii="Times New Roman" w:hAnsi="Times New Roman" w:eastAsia="方正仿宋_GBK" w:cs="Times New Roman"/>
                <w:lang w:val="en-US" w:eastAsia="zh-CN" w:bidi="ar"/>
              </w:rPr>
              <w:t>711</w:t>
            </w:r>
            <w:r>
              <w:rPr>
                <w:rFonts w:hint="default" w:ascii="Times New Roman" w:hAnsi="Times New Roman" w:eastAsia="方正仿宋_GBK" w:cs="Times New Roman"/>
                <w:i w:val="0"/>
                <w:iCs w:val="0"/>
                <w:color w:val="000000"/>
                <w:kern w:val="0"/>
                <w:sz w:val="20"/>
                <w:szCs w:val="20"/>
                <w:u w:val="none"/>
                <w:lang w:val="en-US" w:eastAsia="zh-CN" w:bidi="ar"/>
              </w:rPr>
              <w:t>号）第二十条</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1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w:t>
            </w:r>
            <w:r>
              <w:rPr>
                <w:rStyle w:val="6"/>
                <w:rFonts w:hint="default" w:ascii="Times New Roman" w:hAnsi="Times New Roman" w:eastAsia="方正仿宋_GBK" w:cs="Times New Roman"/>
                <w:lang w:val="en-US" w:eastAsia="zh-CN" w:bidi="ar"/>
              </w:rPr>
              <w:t>20</w:t>
            </w:r>
            <w:r>
              <w:rPr>
                <w:rFonts w:hint="default" w:ascii="Times New Roman" w:hAnsi="Times New Roman" w:eastAsia="方正仿宋_GBK" w:cs="Times New Roman"/>
                <w:i w:val="0"/>
                <w:iCs w:val="0"/>
                <w:color w:val="000000"/>
                <w:kern w:val="0"/>
                <w:sz w:val="20"/>
                <w:szCs w:val="20"/>
                <w:u w:val="none"/>
                <w:lang w:val="en-US" w:eastAsia="zh-CN" w:bidi="ar"/>
              </w:rPr>
              <w:t>个工作日内</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eastAsia" w:eastAsia="方正仿宋_GBK" w:cs="Times New Roman"/>
                <w:i w:val="0"/>
                <w:iCs w:val="0"/>
                <w:color w:val="000000"/>
                <w:sz w:val="20"/>
                <w:szCs w:val="20"/>
                <w:u w:val="none"/>
                <w:lang w:eastAsia="zh-CN"/>
              </w:rPr>
              <w:t>办公室</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auto"/>
                <w:sz w:val="20"/>
                <w:szCs w:val="20"/>
                <w:u w:val="none"/>
              </w:rPr>
            </w:pPr>
            <w:r>
              <w:rPr>
                <w:rFonts w:hint="default" w:ascii="Times New Roman" w:hAnsi="Times New Roman" w:eastAsia="方正仿宋_GBK" w:cs="Times New Roman"/>
                <w:i w:val="0"/>
                <w:iCs w:val="0"/>
                <w:color w:val="auto"/>
                <w:sz w:val="20"/>
                <w:szCs w:val="20"/>
                <w:u w:val="none"/>
              </w:rPr>
              <w:t>https://www.yuanling.gov.cn/yuanling/c119235/bmxz_jgzn.shtml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1606" w:hRule="atLeast"/>
        </w:trPr>
        <w:tc>
          <w:tcPr>
            <w:tcW w:w="79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1158" w:type="dxa"/>
            <w:vMerge w:val="continue"/>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rPr>
            </w:pPr>
          </w:p>
        </w:tc>
        <w:tc>
          <w:tcPr>
            <w:tcW w:w="13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机构信息</w:t>
            </w:r>
          </w:p>
        </w:tc>
        <w:tc>
          <w:tcPr>
            <w:tcW w:w="18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依据三定方案确定的机关职能，以及机构设置、办公地址、办公时间、联系方式等</w:t>
            </w:r>
          </w:p>
        </w:tc>
        <w:tc>
          <w:tcPr>
            <w:tcW w:w="33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w:t>
            </w:r>
            <w:r>
              <w:rPr>
                <w:rStyle w:val="6"/>
                <w:rFonts w:hint="default" w:ascii="Times New Roman" w:hAnsi="Times New Roman" w:eastAsia="方正仿宋_GBK" w:cs="Times New Roman"/>
                <w:lang w:val="en-US" w:eastAsia="zh-CN" w:bidi="ar"/>
              </w:rPr>
              <w:t>711</w:t>
            </w:r>
            <w:r>
              <w:rPr>
                <w:rFonts w:hint="default" w:ascii="Times New Roman" w:hAnsi="Times New Roman" w:eastAsia="方正仿宋_GBK" w:cs="Times New Roman"/>
                <w:i w:val="0"/>
                <w:iCs w:val="0"/>
                <w:color w:val="000000"/>
                <w:kern w:val="0"/>
                <w:sz w:val="20"/>
                <w:szCs w:val="20"/>
                <w:u w:val="none"/>
                <w:lang w:val="en-US" w:eastAsia="zh-CN" w:bidi="ar"/>
              </w:rPr>
              <w:t>号）第二十条</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1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w:t>
            </w:r>
            <w:r>
              <w:rPr>
                <w:rStyle w:val="6"/>
                <w:rFonts w:hint="default" w:ascii="Times New Roman" w:hAnsi="Times New Roman" w:eastAsia="方正仿宋_GBK" w:cs="Times New Roman"/>
                <w:lang w:val="en-US" w:eastAsia="zh-CN" w:bidi="ar"/>
              </w:rPr>
              <w:t>20</w:t>
            </w:r>
            <w:r>
              <w:rPr>
                <w:rFonts w:hint="default" w:ascii="Times New Roman" w:hAnsi="Times New Roman" w:eastAsia="方正仿宋_GBK" w:cs="Times New Roman"/>
                <w:i w:val="0"/>
                <w:iCs w:val="0"/>
                <w:color w:val="000000"/>
                <w:kern w:val="0"/>
                <w:sz w:val="20"/>
                <w:szCs w:val="20"/>
                <w:u w:val="none"/>
                <w:lang w:val="en-US" w:eastAsia="zh-CN" w:bidi="ar"/>
              </w:rPr>
              <w:t>个工作日内</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eastAsia" w:eastAsia="方正仿宋_GBK" w:cs="Times New Roman"/>
                <w:i w:val="0"/>
                <w:iCs w:val="0"/>
                <w:color w:val="000000"/>
                <w:sz w:val="20"/>
                <w:szCs w:val="20"/>
                <w:u w:val="none"/>
                <w:lang w:eastAsia="zh-CN"/>
              </w:rPr>
              <w:t>办公室</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auto"/>
                <w:sz w:val="20"/>
                <w:szCs w:val="20"/>
                <w:u w:val="none"/>
              </w:rPr>
            </w:pPr>
            <w:r>
              <w:rPr>
                <w:rFonts w:hint="default" w:ascii="Times New Roman" w:hAnsi="Times New Roman" w:eastAsia="方正仿宋_GBK" w:cs="Times New Roman"/>
                <w:i w:val="0"/>
                <w:iCs w:val="0"/>
                <w:color w:val="auto"/>
                <w:sz w:val="20"/>
                <w:szCs w:val="20"/>
                <w:u w:val="none"/>
              </w:rPr>
              <w:t>https://www.yuanling.gov.cn/yuanling/c119235/bmxz_jgzn.shtml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1666" w:hRule="atLeast"/>
        </w:trPr>
        <w:tc>
          <w:tcPr>
            <w:tcW w:w="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w:t>
            </w:r>
          </w:p>
        </w:tc>
        <w:tc>
          <w:tcPr>
            <w:tcW w:w="11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规划计划</w:t>
            </w:r>
          </w:p>
        </w:tc>
        <w:tc>
          <w:tcPr>
            <w:tcW w:w="13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医疗保障领域规划计划</w:t>
            </w:r>
          </w:p>
        </w:tc>
        <w:tc>
          <w:tcPr>
            <w:tcW w:w="18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t>医疗保障发展规划、中长期计划</w:t>
            </w:r>
          </w:p>
        </w:tc>
        <w:tc>
          <w:tcPr>
            <w:tcW w:w="33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w:t>
            </w:r>
            <w:r>
              <w:rPr>
                <w:rStyle w:val="6"/>
                <w:rFonts w:hint="default" w:ascii="Times New Roman" w:hAnsi="Times New Roman" w:eastAsia="方正仿宋_GBK" w:cs="Times New Roman"/>
                <w:lang w:val="en-US" w:eastAsia="zh-CN" w:bidi="ar"/>
              </w:rPr>
              <w:t>711</w:t>
            </w:r>
            <w:r>
              <w:rPr>
                <w:rFonts w:hint="default" w:ascii="Times New Roman" w:hAnsi="Times New Roman" w:eastAsia="方正仿宋_GBK" w:cs="Times New Roman"/>
                <w:i w:val="0"/>
                <w:iCs w:val="0"/>
                <w:color w:val="000000"/>
                <w:kern w:val="0"/>
                <w:sz w:val="20"/>
                <w:szCs w:val="20"/>
                <w:u w:val="none"/>
                <w:lang w:val="en-US" w:eastAsia="zh-CN" w:bidi="ar"/>
              </w:rPr>
              <w:t>号）第二十条</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1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w:t>
            </w:r>
            <w:r>
              <w:rPr>
                <w:rStyle w:val="6"/>
                <w:rFonts w:hint="default" w:ascii="Times New Roman" w:hAnsi="Times New Roman" w:eastAsia="方正仿宋_GBK" w:cs="Times New Roman"/>
                <w:lang w:val="en-US" w:eastAsia="zh-CN" w:bidi="ar"/>
              </w:rPr>
              <w:t>20</w:t>
            </w:r>
            <w:r>
              <w:rPr>
                <w:rFonts w:hint="default" w:ascii="Times New Roman" w:hAnsi="Times New Roman" w:eastAsia="方正仿宋_GBK" w:cs="Times New Roman"/>
                <w:i w:val="0"/>
                <w:iCs w:val="0"/>
                <w:color w:val="000000"/>
                <w:kern w:val="0"/>
                <w:sz w:val="20"/>
                <w:szCs w:val="20"/>
                <w:u w:val="none"/>
                <w:lang w:val="en-US" w:eastAsia="zh-CN" w:bidi="ar"/>
              </w:rPr>
              <w:t>个工作日内</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eastAsia" w:eastAsia="方正仿宋_GBK" w:cs="Times New Roman"/>
                <w:i w:val="0"/>
                <w:iCs w:val="0"/>
                <w:color w:val="000000"/>
                <w:sz w:val="20"/>
                <w:szCs w:val="20"/>
                <w:u w:val="none"/>
                <w:lang w:eastAsia="zh-CN"/>
              </w:rPr>
              <w:t>办公室</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auto"/>
                <w:sz w:val="20"/>
                <w:szCs w:val="20"/>
                <w:u w:val="none"/>
              </w:rPr>
            </w:pPr>
            <w:r>
              <w:rPr>
                <w:rFonts w:hint="default" w:ascii="Times New Roman" w:hAnsi="Times New Roman" w:eastAsia="方正仿宋_GBK" w:cs="Times New Roman"/>
                <w:i w:val="0"/>
                <w:iCs w:val="0"/>
                <w:color w:val="auto"/>
                <w:sz w:val="20"/>
                <w:szCs w:val="20"/>
                <w:u w:val="none"/>
              </w:rPr>
              <w:t>https://www.yuanling.gov.cn/yuanling/c119239/list2020.shtml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3025" w:hRule="atLeast"/>
        </w:trPr>
        <w:tc>
          <w:tcPr>
            <w:tcW w:w="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w:t>
            </w:r>
          </w:p>
        </w:tc>
        <w:tc>
          <w:tcPr>
            <w:tcW w:w="11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政务服务</w:t>
            </w:r>
          </w:p>
        </w:tc>
        <w:tc>
          <w:tcPr>
            <w:tcW w:w="13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医疗保障领域政务服务事项信息</w:t>
            </w:r>
          </w:p>
        </w:tc>
        <w:tc>
          <w:tcPr>
            <w:tcW w:w="18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医疗保障领域办理行政许可和其他对外管理服务事项目录，行使事项的依据、条件、程序以及办理结果</w:t>
            </w:r>
          </w:p>
        </w:tc>
        <w:tc>
          <w:tcPr>
            <w:tcW w:w="33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《中华人民共和国行政许可法》第三十条；《中华人民共和国政府信息公开条例》（国务院令第</w:t>
            </w:r>
            <w:r>
              <w:rPr>
                <w:rStyle w:val="6"/>
                <w:rFonts w:hint="default" w:ascii="Times New Roman" w:hAnsi="Times New Roman" w:eastAsia="方正仿宋_GBK" w:cs="Times New Roman"/>
                <w:lang w:val="en-US" w:eastAsia="zh-CN" w:bidi="ar"/>
              </w:rPr>
              <w:t>711</w:t>
            </w:r>
            <w:r>
              <w:rPr>
                <w:rFonts w:hint="default" w:ascii="Times New Roman" w:hAnsi="Times New Roman" w:eastAsia="方正仿宋_GBK" w:cs="Times New Roman"/>
                <w:i w:val="0"/>
                <w:iCs w:val="0"/>
                <w:color w:val="000000"/>
                <w:kern w:val="0"/>
                <w:sz w:val="20"/>
                <w:szCs w:val="20"/>
                <w:u w:val="none"/>
                <w:lang w:val="en-US" w:eastAsia="zh-CN" w:bidi="ar"/>
              </w:rPr>
              <w:t>号）第二十条；《国务院办公厅关于全面实行行政许可事项清单管理的通知》（国办发〔</w:t>
            </w:r>
            <w:r>
              <w:rPr>
                <w:rStyle w:val="6"/>
                <w:rFonts w:hint="default" w:ascii="Times New Roman" w:hAnsi="Times New Roman" w:eastAsia="方正仿宋_GBK" w:cs="Times New Roman"/>
                <w:lang w:val="en-US" w:eastAsia="zh-CN" w:bidi="ar"/>
              </w:rPr>
              <w:t>2022</w:t>
            </w:r>
            <w:r>
              <w:rPr>
                <w:rFonts w:hint="default" w:ascii="Times New Roman" w:hAnsi="Times New Roman" w:eastAsia="方正仿宋_GBK" w:cs="Times New Roman"/>
                <w:i w:val="0"/>
                <w:iCs w:val="0"/>
                <w:color w:val="000000"/>
                <w:kern w:val="0"/>
                <w:sz w:val="20"/>
                <w:szCs w:val="20"/>
                <w:u w:val="none"/>
                <w:lang w:val="en-US" w:eastAsia="zh-CN" w:bidi="ar"/>
              </w:rPr>
              <w:t>〕</w:t>
            </w:r>
            <w:r>
              <w:rPr>
                <w:rStyle w:val="6"/>
                <w:rFonts w:hint="default" w:ascii="Times New Roman" w:hAnsi="Times New Roman" w:eastAsia="方正仿宋_GBK" w:cs="Times New Roman"/>
                <w:lang w:val="en-US" w:eastAsia="zh-CN" w:bidi="ar"/>
              </w:rPr>
              <w:t>2</w:t>
            </w:r>
            <w:r>
              <w:rPr>
                <w:rFonts w:hint="default" w:ascii="Times New Roman" w:hAnsi="Times New Roman" w:eastAsia="方正仿宋_GBK" w:cs="Times New Roman"/>
                <w:i w:val="0"/>
                <w:iCs w:val="0"/>
                <w:color w:val="000000"/>
                <w:kern w:val="0"/>
                <w:sz w:val="20"/>
                <w:szCs w:val="20"/>
                <w:u w:val="none"/>
                <w:lang w:val="en-US" w:eastAsia="zh-CN" w:bidi="ar"/>
              </w:rPr>
              <w:t>号）第（八）条；《国务院关于建立完善守信联合激励和失信联合惩戒制度加快推进社会诚信建设的指导意见》（国发〔</w:t>
            </w:r>
            <w:r>
              <w:rPr>
                <w:rStyle w:val="6"/>
                <w:rFonts w:hint="default" w:ascii="Times New Roman" w:hAnsi="Times New Roman" w:eastAsia="方正仿宋_GBK" w:cs="Times New Roman"/>
                <w:lang w:val="en-US" w:eastAsia="zh-CN" w:bidi="ar"/>
              </w:rPr>
              <w:t>2016</w:t>
            </w:r>
            <w:r>
              <w:rPr>
                <w:rFonts w:hint="default" w:ascii="Times New Roman" w:hAnsi="Times New Roman" w:eastAsia="方正仿宋_GBK" w:cs="Times New Roman"/>
                <w:i w:val="0"/>
                <w:iCs w:val="0"/>
                <w:color w:val="000000"/>
                <w:kern w:val="0"/>
                <w:sz w:val="20"/>
                <w:szCs w:val="20"/>
                <w:u w:val="none"/>
                <w:lang w:val="en-US" w:eastAsia="zh-CN" w:bidi="ar"/>
              </w:rPr>
              <w:t>〕</w:t>
            </w:r>
            <w:r>
              <w:rPr>
                <w:rStyle w:val="6"/>
                <w:rFonts w:hint="default" w:ascii="Times New Roman" w:hAnsi="Times New Roman" w:eastAsia="方正仿宋_GBK" w:cs="Times New Roman"/>
                <w:lang w:val="en-US" w:eastAsia="zh-CN" w:bidi="ar"/>
              </w:rPr>
              <w:t>33</w:t>
            </w:r>
            <w:r>
              <w:rPr>
                <w:rFonts w:hint="default" w:ascii="Times New Roman" w:hAnsi="Times New Roman" w:eastAsia="方正仿宋_GBK" w:cs="Times New Roman"/>
                <w:i w:val="0"/>
                <w:iCs w:val="0"/>
                <w:color w:val="000000"/>
                <w:kern w:val="0"/>
                <w:sz w:val="20"/>
                <w:szCs w:val="20"/>
                <w:u w:val="none"/>
                <w:lang w:val="en-US" w:eastAsia="zh-CN" w:bidi="ar"/>
              </w:rPr>
              <w:t>号）第（十七）条</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1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w:t>
            </w:r>
            <w:r>
              <w:rPr>
                <w:rStyle w:val="6"/>
                <w:rFonts w:hint="default" w:ascii="Times New Roman" w:hAnsi="Times New Roman" w:eastAsia="方正仿宋_GBK" w:cs="Times New Roman"/>
                <w:lang w:val="en-US" w:eastAsia="zh-CN" w:bidi="ar"/>
              </w:rPr>
              <w:t>20</w:t>
            </w:r>
            <w:r>
              <w:rPr>
                <w:rFonts w:hint="default" w:ascii="Times New Roman" w:hAnsi="Times New Roman" w:eastAsia="方正仿宋_GBK" w:cs="Times New Roman"/>
                <w:i w:val="0"/>
                <w:iCs w:val="0"/>
                <w:color w:val="000000"/>
                <w:kern w:val="0"/>
                <w:sz w:val="20"/>
                <w:szCs w:val="20"/>
                <w:u w:val="none"/>
                <w:lang w:val="en-US" w:eastAsia="zh-CN" w:bidi="ar"/>
              </w:rPr>
              <w:t>个工作日内；行政许可自决定之日起</w:t>
            </w:r>
            <w:r>
              <w:rPr>
                <w:rStyle w:val="6"/>
                <w:rFonts w:hint="default" w:ascii="Times New Roman" w:hAnsi="Times New Roman" w:eastAsia="方正仿宋_GBK" w:cs="Times New Roman"/>
                <w:lang w:val="en-US" w:eastAsia="zh-CN" w:bidi="ar"/>
              </w:rPr>
              <w:t>7</w:t>
            </w:r>
            <w:r>
              <w:rPr>
                <w:rFonts w:hint="default" w:ascii="Times New Roman" w:hAnsi="Times New Roman" w:eastAsia="方正仿宋_GBK" w:cs="Times New Roman"/>
                <w:i w:val="0"/>
                <w:iCs w:val="0"/>
                <w:color w:val="000000"/>
                <w:kern w:val="0"/>
                <w:sz w:val="20"/>
                <w:szCs w:val="20"/>
                <w:u w:val="none"/>
                <w:lang w:val="en-US" w:eastAsia="zh-CN" w:bidi="ar"/>
              </w:rPr>
              <w:t>个工作日内</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t>医疗保障事务中心</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auto"/>
                <w:sz w:val="20"/>
                <w:szCs w:val="20"/>
                <w:u w:val="none"/>
              </w:rPr>
            </w:pPr>
            <w:r>
              <w:rPr>
                <w:rFonts w:hint="default" w:ascii="Times New Roman" w:hAnsi="Times New Roman" w:eastAsia="方正仿宋_GBK" w:cs="Times New Roman"/>
                <w:i w:val="0"/>
                <w:iCs w:val="0"/>
                <w:color w:val="auto"/>
                <w:sz w:val="20"/>
                <w:szCs w:val="20"/>
                <w:u w:val="none"/>
              </w:rPr>
              <w:t>http://zwfw-new.hunan.gov.cn/onething/service/index.jsp?type=xndtgr&amp;main=1&amp;areacode=431222999000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2218" w:hRule="atLeast"/>
        </w:trPr>
        <w:tc>
          <w:tcPr>
            <w:tcW w:w="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w:t>
            </w:r>
          </w:p>
        </w:tc>
        <w:tc>
          <w:tcPr>
            <w:tcW w:w="11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行政处罚</w:t>
            </w:r>
          </w:p>
        </w:tc>
        <w:tc>
          <w:tcPr>
            <w:tcW w:w="13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医疗保障领域行政处罚信息</w:t>
            </w:r>
          </w:p>
        </w:tc>
        <w:tc>
          <w:tcPr>
            <w:tcW w:w="18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医疗保障领域实施行政处罚的依据、条件、程序以及本行政机关认为具有一定社会影响的行政处罚决定</w:t>
            </w:r>
          </w:p>
        </w:tc>
        <w:tc>
          <w:tcPr>
            <w:tcW w:w="33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《中华人民共和国行政处罚法》第五条</w:t>
            </w:r>
            <w:r>
              <w:rPr>
                <w:rFonts w:hint="default" w:ascii="Times New Roman" w:hAnsi="Times New Roman" w:eastAsia="方正仿宋_GBK" w:cs="Times New Roman"/>
                <w:snapToGrid w:val="0"/>
                <w:kern w:val="21"/>
                <w:sz w:val="20"/>
                <w:szCs w:val="20"/>
                <w:lang w:val="en-US" w:eastAsia="zh-CN"/>
              </w:rPr>
              <w:t>、第四十八条</w:t>
            </w: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w:t>
            </w:r>
            <w:r>
              <w:rPr>
                <w:rStyle w:val="6"/>
                <w:rFonts w:hint="default" w:ascii="Times New Roman" w:hAnsi="Times New Roman" w:eastAsia="方正仿宋_GBK" w:cs="Times New Roman"/>
                <w:lang w:val="en-US" w:eastAsia="zh-CN" w:bidi="ar"/>
              </w:rPr>
              <w:t>711</w:t>
            </w:r>
            <w:r>
              <w:rPr>
                <w:rFonts w:hint="default" w:ascii="Times New Roman" w:hAnsi="Times New Roman" w:eastAsia="方正仿宋_GBK" w:cs="Times New Roman"/>
                <w:i w:val="0"/>
                <w:iCs w:val="0"/>
                <w:color w:val="000000"/>
                <w:kern w:val="0"/>
                <w:sz w:val="20"/>
                <w:szCs w:val="20"/>
                <w:u w:val="none"/>
                <w:lang w:val="en-US" w:eastAsia="zh-CN" w:bidi="ar"/>
              </w:rPr>
              <w:t>号）第二十条；《国务院关于建立完善守信联合激励和失信联合惩戒制度加快推进社会诚信建设的指导意见》（国发〔</w:t>
            </w:r>
            <w:r>
              <w:rPr>
                <w:rStyle w:val="6"/>
                <w:rFonts w:hint="default" w:ascii="Times New Roman" w:hAnsi="Times New Roman" w:eastAsia="方正仿宋_GBK" w:cs="Times New Roman"/>
                <w:lang w:val="en-US" w:eastAsia="zh-CN" w:bidi="ar"/>
              </w:rPr>
              <w:t>2016</w:t>
            </w:r>
            <w:r>
              <w:rPr>
                <w:rFonts w:hint="default" w:ascii="Times New Roman" w:hAnsi="Times New Roman" w:eastAsia="方正仿宋_GBK" w:cs="Times New Roman"/>
                <w:i w:val="0"/>
                <w:iCs w:val="0"/>
                <w:color w:val="000000"/>
                <w:kern w:val="0"/>
                <w:sz w:val="20"/>
                <w:szCs w:val="20"/>
                <w:u w:val="none"/>
                <w:lang w:val="en-US" w:eastAsia="zh-CN" w:bidi="ar"/>
              </w:rPr>
              <w:t>〕</w:t>
            </w:r>
            <w:r>
              <w:rPr>
                <w:rStyle w:val="6"/>
                <w:rFonts w:hint="default" w:ascii="Times New Roman" w:hAnsi="Times New Roman" w:eastAsia="方正仿宋_GBK" w:cs="Times New Roman"/>
                <w:lang w:val="en-US" w:eastAsia="zh-CN" w:bidi="ar"/>
              </w:rPr>
              <w:t>33</w:t>
            </w:r>
            <w:r>
              <w:rPr>
                <w:rFonts w:hint="default" w:ascii="Times New Roman" w:hAnsi="Times New Roman" w:eastAsia="方正仿宋_GBK" w:cs="Times New Roman"/>
                <w:i w:val="0"/>
                <w:iCs w:val="0"/>
                <w:color w:val="000000"/>
                <w:kern w:val="0"/>
                <w:sz w:val="20"/>
                <w:szCs w:val="20"/>
                <w:u w:val="none"/>
                <w:lang w:val="en-US" w:eastAsia="zh-CN" w:bidi="ar"/>
              </w:rPr>
              <w:t>号）第（十七）条</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1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w:t>
            </w:r>
            <w:r>
              <w:rPr>
                <w:rStyle w:val="6"/>
                <w:rFonts w:hint="default" w:ascii="Times New Roman" w:hAnsi="Times New Roman" w:eastAsia="方正仿宋_GBK" w:cs="Times New Roman"/>
                <w:lang w:val="en-US" w:eastAsia="zh-CN" w:bidi="ar"/>
              </w:rPr>
              <w:t>20</w:t>
            </w:r>
            <w:r>
              <w:rPr>
                <w:rFonts w:hint="default" w:ascii="Times New Roman" w:hAnsi="Times New Roman" w:eastAsia="方正仿宋_GBK" w:cs="Times New Roman"/>
                <w:i w:val="0"/>
                <w:iCs w:val="0"/>
                <w:color w:val="000000"/>
                <w:kern w:val="0"/>
                <w:sz w:val="20"/>
                <w:szCs w:val="20"/>
                <w:u w:val="none"/>
                <w:lang w:val="en-US" w:eastAsia="zh-CN" w:bidi="ar"/>
              </w:rPr>
              <w:t>个工作日内；行政处罚自决定之日起</w:t>
            </w:r>
            <w:r>
              <w:rPr>
                <w:rStyle w:val="6"/>
                <w:rFonts w:hint="default" w:ascii="Times New Roman" w:hAnsi="Times New Roman" w:eastAsia="方正仿宋_GBK" w:cs="Times New Roman"/>
                <w:lang w:val="en-US" w:eastAsia="zh-CN" w:bidi="ar"/>
              </w:rPr>
              <w:t>7</w:t>
            </w:r>
            <w:r>
              <w:rPr>
                <w:rFonts w:hint="default" w:ascii="Times New Roman" w:hAnsi="Times New Roman" w:eastAsia="方正仿宋_GBK" w:cs="Times New Roman"/>
                <w:i w:val="0"/>
                <w:iCs w:val="0"/>
                <w:color w:val="000000"/>
                <w:kern w:val="0"/>
                <w:sz w:val="20"/>
                <w:szCs w:val="20"/>
                <w:u w:val="none"/>
                <w:lang w:val="en-US" w:eastAsia="zh-CN" w:bidi="ar"/>
              </w:rPr>
              <w:t>个工作日内</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t xml:space="preserve">基金监管股 </w:t>
            </w:r>
            <w:bookmarkStart w:id="0" w:name="_GoBack"/>
            <w:bookmarkEnd w:id="0"/>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auto"/>
                <w:sz w:val="20"/>
                <w:szCs w:val="20"/>
                <w:u w:val="none"/>
              </w:rPr>
            </w:pPr>
            <w:r>
              <w:rPr>
                <w:rFonts w:hint="default" w:ascii="Times New Roman" w:hAnsi="Times New Roman" w:eastAsia="方正仿宋_GBK" w:cs="Times New Roman"/>
                <w:i w:val="0"/>
                <w:iCs w:val="0"/>
                <w:color w:val="auto"/>
                <w:sz w:val="20"/>
                <w:szCs w:val="20"/>
                <w:u w:val="none"/>
              </w:rPr>
              <w:t>https://www.yuanling.gov.cn/yuanling/c119574/zfxxgkIframeMultiList.shtml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1596" w:hRule="atLeast"/>
        </w:trPr>
        <w:tc>
          <w:tcPr>
            <w:tcW w:w="79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w:t>
            </w:r>
          </w:p>
        </w:tc>
        <w:tc>
          <w:tcPr>
            <w:tcW w:w="1158"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财政预算、决算</w:t>
            </w:r>
          </w:p>
        </w:tc>
        <w:tc>
          <w:tcPr>
            <w:tcW w:w="13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预算、决算</w:t>
            </w:r>
          </w:p>
        </w:tc>
        <w:tc>
          <w:tcPr>
            <w:tcW w:w="18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部门预算、决算及执行情况</w:t>
            </w:r>
          </w:p>
        </w:tc>
        <w:tc>
          <w:tcPr>
            <w:tcW w:w="33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《中华人民共和国预算法》 第十四条；《中华人民共和国预算法实施条例》第六条；《中华人民共和国政府信息公开条例》（国务院令第</w:t>
            </w:r>
            <w:r>
              <w:rPr>
                <w:rStyle w:val="6"/>
                <w:rFonts w:hint="default" w:ascii="Times New Roman" w:hAnsi="Times New Roman" w:eastAsia="方正仿宋_GBK" w:cs="Times New Roman"/>
                <w:lang w:val="en-US" w:eastAsia="zh-CN" w:bidi="ar"/>
              </w:rPr>
              <w:t>711</w:t>
            </w:r>
            <w:r>
              <w:rPr>
                <w:rFonts w:hint="default" w:ascii="Times New Roman" w:hAnsi="Times New Roman" w:eastAsia="方正仿宋_GBK" w:cs="Times New Roman"/>
                <w:i w:val="0"/>
                <w:iCs w:val="0"/>
                <w:color w:val="000000"/>
                <w:kern w:val="0"/>
                <w:sz w:val="20"/>
                <w:szCs w:val="20"/>
                <w:u w:val="none"/>
                <w:lang w:val="en-US" w:eastAsia="zh-CN" w:bidi="ar"/>
              </w:rPr>
              <w:t>号）第二十条</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1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t>批准（批复）后20日内</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t>财务室</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auto"/>
                <w:sz w:val="20"/>
                <w:szCs w:val="20"/>
                <w:u w:val="none"/>
              </w:rPr>
            </w:pPr>
            <w:r>
              <w:rPr>
                <w:rFonts w:hint="default" w:ascii="Times New Roman" w:hAnsi="Times New Roman" w:eastAsia="方正仿宋_GBK" w:cs="Times New Roman"/>
                <w:i w:val="0"/>
                <w:iCs w:val="0"/>
                <w:color w:val="auto"/>
                <w:sz w:val="20"/>
                <w:szCs w:val="20"/>
                <w:u w:val="none"/>
              </w:rPr>
              <w:t>http://www.yuanling.gov.cn/yuanling/c108873/zfxxgkMultiList.shtml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1290" w:hRule="atLeast"/>
        </w:trPr>
        <w:tc>
          <w:tcPr>
            <w:tcW w:w="79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1158"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rPr>
            </w:pPr>
          </w:p>
        </w:tc>
        <w:tc>
          <w:tcPr>
            <w:tcW w:w="13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“三公”经费</w:t>
            </w:r>
          </w:p>
        </w:tc>
        <w:tc>
          <w:tcPr>
            <w:tcW w:w="18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“三公”经费财政拨款预算总额和分项数额，对增减变化的原因说明</w:t>
            </w:r>
          </w:p>
        </w:tc>
        <w:tc>
          <w:tcPr>
            <w:tcW w:w="33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《中华人民共和国预算法》 第十四条；《中华人民共和国预算法实施条例》第六条；《中华人民共和国政府信息公开条例》（国务院令第</w:t>
            </w:r>
            <w:r>
              <w:rPr>
                <w:rStyle w:val="6"/>
                <w:rFonts w:hint="default" w:ascii="Times New Roman" w:hAnsi="Times New Roman" w:eastAsia="方正仿宋_GBK" w:cs="Times New Roman"/>
                <w:lang w:val="en-US" w:eastAsia="zh-CN" w:bidi="ar"/>
              </w:rPr>
              <w:t>711</w:t>
            </w:r>
            <w:r>
              <w:rPr>
                <w:rFonts w:hint="default" w:ascii="Times New Roman" w:hAnsi="Times New Roman" w:eastAsia="方正仿宋_GBK" w:cs="Times New Roman"/>
                <w:i w:val="0"/>
                <w:iCs w:val="0"/>
                <w:color w:val="000000"/>
                <w:kern w:val="0"/>
                <w:sz w:val="20"/>
                <w:szCs w:val="20"/>
                <w:u w:val="none"/>
                <w:lang w:val="en-US" w:eastAsia="zh-CN" w:bidi="ar"/>
              </w:rPr>
              <w:t>号）第二十条</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1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t>批准（批复）后20日内</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t>财务室</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auto"/>
                <w:sz w:val="20"/>
                <w:szCs w:val="20"/>
                <w:u w:val="none"/>
              </w:rPr>
            </w:pPr>
            <w:r>
              <w:rPr>
                <w:rFonts w:hint="default" w:ascii="Times New Roman" w:hAnsi="Times New Roman" w:eastAsia="方正仿宋_GBK" w:cs="Times New Roman"/>
                <w:i w:val="0"/>
                <w:iCs w:val="0"/>
                <w:color w:val="auto"/>
                <w:sz w:val="20"/>
                <w:szCs w:val="20"/>
                <w:u w:val="none"/>
              </w:rPr>
              <w:t>http://www.yuanling.gov.cn/yuanling/c108873/zfxxgkMultiList.shtml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335" w:hRule="atLeast"/>
        </w:trPr>
        <w:tc>
          <w:tcPr>
            <w:tcW w:w="79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1158"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rPr>
            </w:pPr>
          </w:p>
        </w:tc>
        <w:tc>
          <w:tcPr>
            <w:tcW w:w="13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绩效评价</w:t>
            </w:r>
          </w:p>
        </w:tc>
        <w:tc>
          <w:tcPr>
            <w:tcW w:w="18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按要求将项目支出绩效评价结果编入预算并公开</w:t>
            </w:r>
          </w:p>
        </w:tc>
        <w:tc>
          <w:tcPr>
            <w:tcW w:w="33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《财政部关于印发&lt;项目支出绩效评价管理办法&gt;的通知》（财预〔2020〕10号）第二十八条；《湖南省财政厅关于印发&lt;湖南省预算支出绩效评价管理办法&gt;的通知》（湘财绩〔2020〕7号）第四十二条</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1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w:t>
            </w:r>
            <w:r>
              <w:rPr>
                <w:rStyle w:val="6"/>
                <w:rFonts w:hint="default" w:ascii="Times New Roman" w:hAnsi="Times New Roman" w:eastAsia="方正仿宋_GBK" w:cs="Times New Roman"/>
                <w:lang w:val="en-US" w:eastAsia="zh-CN" w:bidi="ar"/>
              </w:rPr>
              <w:t>20</w:t>
            </w:r>
            <w:r>
              <w:rPr>
                <w:rFonts w:hint="default" w:ascii="Times New Roman" w:hAnsi="Times New Roman" w:eastAsia="方正仿宋_GBK" w:cs="Times New Roman"/>
                <w:i w:val="0"/>
                <w:iCs w:val="0"/>
                <w:color w:val="000000"/>
                <w:kern w:val="0"/>
                <w:sz w:val="20"/>
                <w:szCs w:val="20"/>
                <w:u w:val="none"/>
                <w:lang w:val="en-US" w:eastAsia="zh-CN" w:bidi="ar"/>
              </w:rPr>
              <w:t>个工作日内</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t>财务室</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auto"/>
                <w:sz w:val="20"/>
                <w:szCs w:val="20"/>
                <w:u w:val="none"/>
              </w:rPr>
            </w:pPr>
            <w:r>
              <w:rPr>
                <w:rFonts w:hint="default" w:ascii="Times New Roman" w:hAnsi="Times New Roman" w:eastAsia="方正仿宋_GBK" w:cs="Times New Roman"/>
                <w:i w:val="0"/>
                <w:iCs w:val="0"/>
                <w:color w:val="auto"/>
                <w:sz w:val="20"/>
                <w:szCs w:val="20"/>
                <w:u w:val="none"/>
              </w:rPr>
              <w:t>http://www.yuanling.gov.cn/yuanling/c108873/zfxxgkMultiList.shtml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90" w:hRule="atLeast"/>
        </w:trPr>
        <w:tc>
          <w:tcPr>
            <w:tcW w:w="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w:t>
            </w:r>
          </w:p>
        </w:tc>
        <w:tc>
          <w:tcPr>
            <w:tcW w:w="11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政府采购</w:t>
            </w:r>
          </w:p>
        </w:tc>
        <w:tc>
          <w:tcPr>
            <w:tcW w:w="13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政府集中采购项目的实施情况</w:t>
            </w:r>
          </w:p>
        </w:tc>
        <w:tc>
          <w:tcPr>
            <w:tcW w:w="18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包括采购项目公告、采购文件、采购项目预算金额、采购结果、采购合同等信息</w:t>
            </w:r>
          </w:p>
        </w:tc>
        <w:tc>
          <w:tcPr>
            <w:tcW w:w="33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《中华人民共和国政府采购法》第六十三条；《中华人民共和国预算法》第十四条；《中华人民共和国政府信息公开条例》（国务院令第</w:t>
            </w:r>
            <w:r>
              <w:rPr>
                <w:rStyle w:val="6"/>
                <w:rFonts w:hint="default" w:ascii="Times New Roman" w:hAnsi="Times New Roman" w:eastAsia="方正仿宋_GBK" w:cs="Times New Roman"/>
                <w:lang w:val="en-US" w:eastAsia="zh-CN" w:bidi="ar"/>
              </w:rPr>
              <w:t>711</w:t>
            </w:r>
            <w:r>
              <w:rPr>
                <w:rFonts w:hint="default" w:ascii="Times New Roman" w:hAnsi="Times New Roman" w:eastAsia="方正仿宋_GBK" w:cs="Times New Roman"/>
                <w:i w:val="0"/>
                <w:iCs w:val="0"/>
                <w:color w:val="000000"/>
                <w:kern w:val="0"/>
                <w:sz w:val="20"/>
                <w:szCs w:val="20"/>
                <w:u w:val="none"/>
                <w:lang w:val="en-US" w:eastAsia="zh-CN" w:bidi="ar"/>
              </w:rPr>
              <w:t>号）第二十条；《国务院办公厅关于推进公共资源配置领域政府信息公开的意见》（国办发〔</w:t>
            </w:r>
            <w:r>
              <w:rPr>
                <w:rStyle w:val="6"/>
                <w:rFonts w:hint="default" w:ascii="Times New Roman" w:hAnsi="Times New Roman" w:eastAsia="方正仿宋_GBK" w:cs="Times New Roman"/>
                <w:lang w:val="en-US" w:eastAsia="zh-CN" w:bidi="ar"/>
              </w:rPr>
              <w:t>2017</w:t>
            </w:r>
            <w:r>
              <w:rPr>
                <w:rFonts w:hint="default" w:ascii="Times New Roman" w:hAnsi="Times New Roman" w:eastAsia="方正仿宋_GBK" w:cs="Times New Roman"/>
                <w:i w:val="0"/>
                <w:iCs w:val="0"/>
                <w:color w:val="000000"/>
                <w:kern w:val="0"/>
                <w:sz w:val="20"/>
                <w:szCs w:val="20"/>
                <w:u w:val="none"/>
                <w:lang w:val="en-US" w:eastAsia="zh-CN" w:bidi="ar"/>
              </w:rPr>
              <w:t>〕</w:t>
            </w:r>
            <w:r>
              <w:rPr>
                <w:rStyle w:val="6"/>
                <w:rFonts w:hint="default" w:ascii="Times New Roman" w:hAnsi="Times New Roman" w:eastAsia="方正仿宋_GBK" w:cs="Times New Roman"/>
                <w:lang w:val="en-US" w:eastAsia="zh-CN" w:bidi="ar"/>
              </w:rPr>
              <w:t>97</w:t>
            </w:r>
            <w:r>
              <w:rPr>
                <w:rFonts w:hint="default" w:ascii="Times New Roman" w:hAnsi="Times New Roman" w:eastAsia="方正仿宋_GBK" w:cs="Times New Roman"/>
                <w:i w:val="0"/>
                <w:iCs w:val="0"/>
                <w:color w:val="000000"/>
                <w:kern w:val="0"/>
                <w:sz w:val="20"/>
                <w:szCs w:val="20"/>
                <w:u w:val="none"/>
                <w:lang w:val="en-US" w:eastAsia="zh-CN" w:bidi="ar"/>
              </w:rPr>
              <w:t>号）第二部分第（一）条第</w:t>
            </w:r>
            <w:r>
              <w:rPr>
                <w:rStyle w:val="6"/>
                <w:rFonts w:hint="default" w:ascii="Times New Roman" w:hAnsi="Times New Roman" w:eastAsia="方正仿宋_GBK" w:cs="Times New Roman"/>
                <w:lang w:val="en-US" w:eastAsia="zh-CN" w:bidi="ar"/>
              </w:rPr>
              <w:t>4</w:t>
            </w:r>
            <w:r>
              <w:rPr>
                <w:rFonts w:hint="default" w:ascii="Times New Roman" w:hAnsi="Times New Roman" w:eastAsia="方正仿宋_GBK" w:cs="Times New Roman"/>
                <w:i w:val="0"/>
                <w:iCs w:val="0"/>
                <w:color w:val="000000"/>
                <w:kern w:val="0"/>
                <w:sz w:val="20"/>
                <w:szCs w:val="20"/>
                <w:u w:val="none"/>
                <w:lang w:val="en-US" w:eastAsia="zh-CN" w:bidi="ar"/>
              </w:rPr>
              <w:t>点</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1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w:t>
            </w:r>
            <w:r>
              <w:rPr>
                <w:rStyle w:val="6"/>
                <w:rFonts w:hint="default" w:ascii="Times New Roman" w:hAnsi="Times New Roman" w:eastAsia="方正仿宋_GBK" w:cs="Times New Roman"/>
                <w:lang w:val="en-US" w:eastAsia="zh-CN" w:bidi="ar"/>
              </w:rPr>
              <w:t>20</w:t>
            </w:r>
            <w:r>
              <w:rPr>
                <w:rFonts w:hint="default" w:ascii="Times New Roman" w:hAnsi="Times New Roman" w:eastAsia="方正仿宋_GBK" w:cs="Times New Roman"/>
                <w:i w:val="0"/>
                <w:iCs w:val="0"/>
                <w:color w:val="000000"/>
                <w:kern w:val="0"/>
                <w:sz w:val="20"/>
                <w:szCs w:val="20"/>
                <w:u w:val="none"/>
                <w:lang w:val="en-US" w:eastAsia="zh-CN" w:bidi="ar"/>
              </w:rPr>
              <w:t>个工作日内</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t>财务室</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auto"/>
                <w:sz w:val="20"/>
                <w:szCs w:val="20"/>
                <w:u w:val="none"/>
              </w:rPr>
            </w:pPr>
            <w:r>
              <w:rPr>
                <w:rFonts w:hint="default" w:ascii="Times New Roman" w:hAnsi="Times New Roman" w:eastAsia="方正仿宋_GBK" w:cs="Times New Roman"/>
                <w:i w:val="0"/>
                <w:iCs w:val="0"/>
                <w:color w:val="auto"/>
                <w:sz w:val="20"/>
                <w:szCs w:val="20"/>
                <w:u w:val="none"/>
              </w:rPr>
              <w:t>http://www.yuanling.gov.cn/yuanling/c109038/zfxxgkMultiList.shtml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1420" w:hRule="atLeast"/>
        </w:trPr>
        <w:tc>
          <w:tcPr>
            <w:tcW w:w="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lang w:val="en-US"/>
              </w:rPr>
            </w:pPr>
            <w:r>
              <w:rPr>
                <w:rFonts w:hint="default" w:ascii="Times New Roman" w:hAnsi="Times New Roman" w:eastAsia="宋体" w:cs="Times New Roman"/>
                <w:i w:val="0"/>
                <w:iCs w:val="0"/>
                <w:color w:val="000000"/>
                <w:kern w:val="0"/>
                <w:sz w:val="20"/>
                <w:szCs w:val="20"/>
                <w:u w:val="none"/>
                <w:lang w:val="en-US" w:eastAsia="zh-CN" w:bidi="ar"/>
              </w:rPr>
              <w:t>12</w:t>
            </w:r>
          </w:p>
        </w:tc>
        <w:tc>
          <w:tcPr>
            <w:tcW w:w="11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建议提案</w:t>
            </w:r>
          </w:p>
        </w:tc>
        <w:tc>
          <w:tcPr>
            <w:tcW w:w="13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人大代表建议和政协提案办理</w:t>
            </w:r>
          </w:p>
        </w:tc>
        <w:tc>
          <w:tcPr>
            <w:tcW w:w="18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对涉及公共利益、公众权益、社会关切及需要社会广泛知晓的省人大代表建议、省政协提案及其答复意见经审查可以公开的</w:t>
            </w:r>
          </w:p>
        </w:tc>
        <w:tc>
          <w:tcPr>
            <w:tcW w:w="33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全国人民代表大会和地方各级人民代表大会代表法》第五十一条；《中国人民政治协商会议全国委员会提案工作条例》第二十三条；《湖南省人民政府办公厅关于印发〈省人大代表建议和省政协提案办理工作规定〉的通知》（湘政办发〔</w:t>
            </w:r>
            <w:r>
              <w:rPr>
                <w:rStyle w:val="6"/>
                <w:rFonts w:hint="default" w:ascii="Times New Roman" w:hAnsi="Times New Roman" w:eastAsia="方正仿宋_GBK" w:cs="Times New Roman"/>
                <w:lang w:val="en-US" w:eastAsia="zh-CN" w:bidi="ar"/>
              </w:rPr>
              <w:t>2017</w:t>
            </w:r>
            <w:r>
              <w:rPr>
                <w:rFonts w:hint="default" w:ascii="Times New Roman" w:hAnsi="Times New Roman" w:eastAsia="方正仿宋_GBK" w:cs="Times New Roman"/>
                <w:i w:val="0"/>
                <w:iCs w:val="0"/>
                <w:color w:val="000000"/>
                <w:kern w:val="0"/>
                <w:sz w:val="20"/>
                <w:szCs w:val="20"/>
                <w:u w:val="none"/>
                <w:lang w:val="en-US" w:eastAsia="zh-CN" w:bidi="ar"/>
              </w:rPr>
              <w:t>〕</w:t>
            </w:r>
            <w:r>
              <w:rPr>
                <w:rStyle w:val="6"/>
                <w:rFonts w:hint="default" w:ascii="Times New Roman" w:hAnsi="Times New Roman" w:eastAsia="方正仿宋_GBK" w:cs="Times New Roman"/>
                <w:lang w:val="en-US" w:eastAsia="zh-CN" w:bidi="ar"/>
              </w:rPr>
              <w:t>41</w:t>
            </w:r>
            <w:r>
              <w:rPr>
                <w:rFonts w:hint="default" w:ascii="Times New Roman" w:hAnsi="Times New Roman" w:eastAsia="方正仿宋_GBK" w:cs="Times New Roman"/>
                <w:i w:val="0"/>
                <w:iCs w:val="0"/>
                <w:color w:val="000000"/>
                <w:kern w:val="0"/>
                <w:sz w:val="20"/>
                <w:szCs w:val="20"/>
                <w:u w:val="none"/>
                <w:lang w:val="en-US" w:eastAsia="zh-CN" w:bidi="ar"/>
              </w:rPr>
              <w:t>号）第十三条</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1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snapToGrid w:val="0"/>
                <w:kern w:val="21"/>
                <w:sz w:val="20"/>
                <w:szCs w:val="20"/>
                <w:lang w:val="en-US" w:eastAsia="zh-CN"/>
              </w:rPr>
              <w:t>自该政府信息形成或者变更之日起20个工作日内；省人大代表建议和省政协提案在答复代表和提案者后一个月内开</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t>办公室</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auto"/>
                <w:sz w:val="20"/>
                <w:szCs w:val="20"/>
                <w:u w:val="none"/>
              </w:rPr>
            </w:pPr>
            <w:r>
              <w:rPr>
                <w:rFonts w:hint="default" w:ascii="Times New Roman" w:hAnsi="Times New Roman" w:eastAsia="方正仿宋_GBK" w:cs="Times New Roman"/>
                <w:i w:val="0"/>
                <w:iCs w:val="0"/>
                <w:color w:val="auto"/>
                <w:sz w:val="20"/>
                <w:szCs w:val="20"/>
                <w:u w:val="none"/>
              </w:rPr>
              <w:t>https://www.yuanling.gov.cn/yuanling/c138710/zfxxgkList.shtml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2446" w:hRule="atLeast"/>
        </w:trPr>
        <w:tc>
          <w:tcPr>
            <w:tcW w:w="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lang w:val="en-US"/>
              </w:rPr>
            </w:pPr>
            <w:r>
              <w:rPr>
                <w:rFonts w:hint="default" w:ascii="Times New Roman" w:hAnsi="Times New Roman" w:eastAsia="宋体" w:cs="Times New Roman"/>
                <w:i w:val="0"/>
                <w:iCs w:val="0"/>
                <w:color w:val="000000"/>
                <w:kern w:val="0"/>
                <w:sz w:val="20"/>
                <w:szCs w:val="20"/>
                <w:u w:val="none"/>
                <w:lang w:val="en-US" w:eastAsia="zh-CN" w:bidi="ar"/>
              </w:rPr>
              <w:t>13</w:t>
            </w:r>
          </w:p>
        </w:tc>
        <w:tc>
          <w:tcPr>
            <w:tcW w:w="11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法治政府建设年度报告</w:t>
            </w:r>
          </w:p>
        </w:tc>
        <w:tc>
          <w:tcPr>
            <w:tcW w:w="13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法治政府建设年度报告</w:t>
            </w:r>
          </w:p>
        </w:tc>
        <w:tc>
          <w:tcPr>
            <w:tcW w:w="18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上一年度推进法治政府建设的主要举措和成效、存在的不足和原因，党政主要负责人履行推进法治建设第一责任人职责，加强法治政府建设的有关情况；下一年度推进法治政府建设的主要安排；其他需要报告的情况</w:t>
            </w:r>
          </w:p>
        </w:tc>
        <w:tc>
          <w:tcPr>
            <w:tcW w:w="33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中共中央办公厅 国务院办公厅印发《法治政府建设与责任落实督察工作规定》第二十四条</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1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每年</w:t>
            </w:r>
            <w:r>
              <w:rPr>
                <w:rStyle w:val="6"/>
                <w:rFonts w:hint="default" w:ascii="Times New Roman" w:hAnsi="Times New Roman" w:eastAsia="方正仿宋_GBK" w:cs="Times New Roman"/>
                <w:lang w:val="en-US" w:eastAsia="zh-CN" w:bidi="ar"/>
              </w:rPr>
              <w:t>4</w:t>
            </w:r>
            <w:r>
              <w:rPr>
                <w:rFonts w:hint="default" w:ascii="Times New Roman" w:hAnsi="Times New Roman" w:eastAsia="方正仿宋_GBK" w:cs="Times New Roman"/>
                <w:i w:val="0"/>
                <w:iCs w:val="0"/>
                <w:color w:val="000000"/>
                <w:kern w:val="0"/>
                <w:sz w:val="20"/>
                <w:szCs w:val="20"/>
                <w:u w:val="none"/>
                <w:lang w:val="en-US" w:eastAsia="zh-CN" w:bidi="ar"/>
              </w:rPr>
              <w:t>月</w:t>
            </w:r>
            <w:r>
              <w:rPr>
                <w:rStyle w:val="6"/>
                <w:rFonts w:hint="default" w:ascii="Times New Roman" w:hAnsi="Times New Roman" w:eastAsia="方正仿宋_GBK" w:cs="Times New Roman"/>
                <w:lang w:val="en-US" w:eastAsia="zh-CN" w:bidi="ar"/>
              </w:rPr>
              <w:t>1</w:t>
            </w:r>
            <w:r>
              <w:rPr>
                <w:rFonts w:hint="default" w:ascii="Times New Roman" w:hAnsi="Times New Roman" w:eastAsia="方正仿宋_GBK" w:cs="Times New Roman"/>
                <w:i w:val="0"/>
                <w:iCs w:val="0"/>
                <w:color w:val="000000"/>
                <w:kern w:val="0"/>
                <w:sz w:val="20"/>
                <w:szCs w:val="20"/>
                <w:u w:val="none"/>
                <w:lang w:val="en-US" w:eastAsia="zh-CN" w:bidi="ar"/>
              </w:rPr>
              <w:t>日之前</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t>基金监管股</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auto"/>
                <w:sz w:val="20"/>
                <w:szCs w:val="20"/>
                <w:u w:val="none"/>
              </w:rPr>
            </w:pPr>
            <w:r>
              <w:rPr>
                <w:rFonts w:hint="default" w:ascii="Times New Roman" w:hAnsi="Times New Roman" w:eastAsia="方正仿宋_GBK" w:cs="Times New Roman"/>
                <w:i w:val="0"/>
                <w:iCs w:val="0"/>
                <w:color w:val="auto"/>
                <w:sz w:val="20"/>
                <w:szCs w:val="20"/>
                <w:u w:val="none"/>
              </w:rPr>
              <w:t>https://www.yuanling.gov.cn/yuanling/c119236/list2020.shtml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90" w:hRule="atLeast"/>
        </w:trPr>
        <w:tc>
          <w:tcPr>
            <w:tcW w:w="79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lang w:val="en-US"/>
              </w:rPr>
            </w:pPr>
            <w:r>
              <w:rPr>
                <w:rFonts w:hint="default" w:ascii="Times New Roman" w:hAnsi="Times New Roman" w:eastAsia="宋体" w:cs="Times New Roman"/>
                <w:i w:val="0"/>
                <w:iCs w:val="0"/>
                <w:color w:val="000000"/>
                <w:kern w:val="0"/>
                <w:sz w:val="20"/>
                <w:szCs w:val="20"/>
                <w:u w:val="none"/>
                <w:lang w:val="en-US" w:eastAsia="zh-CN" w:bidi="ar"/>
              </w:rPr>
              <w:t>14</w:t>
            </w:r>
          </w:p>
        </w:tc>
        <w:tc>
          <w:tcPr>
            <w:tcW w:w="1158"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业务事项</w:t>
            </w:r>
          </w:p>
        </w:tc>
        <w:tc>
          <w:tcPr>
            <w:tcW w:w="13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医疗保障领域信用管理</w:t>
            </w:r>
          </w:p>
        </w:tc>
        <w:tc>
          <w:tcPr>
            <w:tcW w:w="18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信用评价结果及其查询方法；医疗保障领域失信联合惩戒对象名单</w:t>
            </w:r>
          </w:p>
        </w:tc>
        <w:tc>
          <w:tcPr>
            <w:tcW w:w="33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《关于印发&lt;湖南省医疗保障信用管理办法&gt;的通知》（湘医保发〔2024〕12号）</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1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t>医疗保障事务中心</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auto"/>
                <w:sz w:val="20"/>
                <w:szCs w:val="20"/>
                <w:u w:val="none"/>
              </w:rPr>
            </w:pPr>
            <w:r>
              <w:rPr>
                <w:rFonts w:hint="default" w:ascii="Times New Roman" w:hAnsi="Times New Roman" w:eastAsia="方正仿宋_GBK" w:cs="Times New Roman"/>
                <w:i w:val="0"/>
                <w:iCs w:val="0"/>
                <w:color w:val="auto"/>
                <w:sz w:val="20"/>
                <w:szCs w:val="20"/>
                <w:u w:val="none"/>
              </w:rPr>
              <w:t>http://www.yuanling.gov.cn/yuanling/c135252/ylbz_zt2023.shtml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90" w:hRule="atLeast"/>
        </w:trPr>
        <w:tc>
          <w:tcPr>
            <w:tcW w:w="79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1158"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rPr>
            </w:pPr>
          </w:p>
        </w:tc>
        <w:tc>
          <w:tcPr>
            <w:tcW w:w="1331"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医保定点医疗机构信息</w:t>
            </w:r>
          </w:p>
        </w:tc>
        <w:tc>
          <w:tcPr>
            <w:tcW w:w="18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签订医保协议的定点医疗机构信息，包括名称、地址等，供参保人员选择</w:t>
            </w:r>
          </w:p>
        </w:tc>
        <w:tc>
          <w:tcPr>
            <w:tcW w:w="33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《医疗机构医疗保障定点管理暂行办法》（国家医疗保障局令第2号）</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1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t>医疗保障事务中心</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auto"/>
                <w:sz w:val="20"/>
                <w:szCs w:val="20"/>
                <w:u w:val="none"/>
              </w:rPr>
            </w:pPr>
            <w:r>
              <w:rPr>
                <w:rFonts w:hint="default" w:ascii="Times New Roman" w:hAnsi="Times New Roman" w:eastAsia="方正仿宋_GBK" w:cs="Times New Roman"/>
                <w:i w:val="0"/>
                <w:iCs w:val="0"/>
                <w:color w:val="auto"/>
                <w:sz w:val="20"/>
                <w:szCs w:val="20"/>
                <w:u w:val="none"/>
              </w:rPr>
              <w:t>http://www.yuanling.gov.cn/yuanling/c135252/ylbz_zt2023.shtml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90" w:hRule="atLeast"/>
        </w:trPr>
        <w:tc>
          <w:tcPr>
            <w:tcW w:w="79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1158"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rPr>
            </w:pPr>
          </w:p>
        </w:tc>
        <w:tc>
          <w:tcPr>
            <w:tcW w:w="133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rPr>
            </w:pPr>
          </w:p>
        </w:tc>
        <w:tc>
          <w:tcPr>
            <w:tcW w:w="18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解除医保协议的医疗机构名单</w:t>
            </w:r>
          </w:p>
        </w:tc>
        <w:tc>
          <w:tcPr>
            <w:tcW w:w="33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《医疗机构医疗保障定点管理暂行办法》（国家医疗保障局令第2号）</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1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t>医疗保障事务中心</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auto"/>
                <w:sz w:val="20"/>
                <w:szCs w:val="20"/>
                <w:u w:val="none"/>
              </w:rPr>
            </w:pPr>
            <w:r>
              <w:rPr>
                <w:rFonts w:hint="default" w:ascii="Times New Roman" w:hAnsi="Times New Roman" w:eastAsia="方正仿宋_GBK" w:cs="Times New Roman"/>
                <w:i w:val="0"/>
                <w:iCs w:val="0"/>
                <w:color w:val="auto"/>
                <w:sz w:val="20"/>
                <w:szCs w:val="20"/>
                <w:u w:val="none"/>
              </w:rPr>
              <w:t>http://www.yuanling.gov.cn/yuanling/c135252/ylbz_zt2023.shtml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90" w:hRule="atLeast"/>
        </w:trPr>
        <w:tc>
          <w:tcPr>
            <w:tcW w:w="79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1158"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rPr>
            </w:pPr>
          </w:p>
        </w:tc>
        <w:tc>
          <w:tcPr>
            <w:tcW w:w="133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rPr>
            </w:pPr>
          </w:p>
        </w:tc>
        <w:tc>
          <w:tcPr>
            <w:tcW w:w="18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评估合格的拟签订协议医疗机构名单</w:t>
            </w:r>
          </w:p>
        </w:tc>
        <w:tc>
          <w:tcPr>
            <w:tcW w:w="33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《医疗机构医疗保障定点管理暂行办法》（国家医疗保障局令第2号）</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1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t>医疗保障事务中心</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auto"/>
                <w:sz w:val="20"/>
                <w:szCs w:val="20"/>
                <w:u w:val="none"/>
              </w:rPr>
            </w:pPr>
            <w:r>
              <w:rPr>
                <w:rFonts w:hint="default" w:ascii="Times New Roman" w:hAnsi="Times New Roman" w:eastAsia="方正仿宋_GBK" w:cs="Times New Roman"/>
                <w:i w:val="0"/>
                <w:iCs w:val="0"/>
                <w:color w:val="auto"/>
                <w:sz w:val="20"/>
                <w:szCs w:val="20"/>
                <w:u w:val="none"/>
              </w:rPr>
              <w:t>http://www.yuanling.gov.cn/yuanling/c135252/ylbz_zt2023.shtml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4015" w:hRule="atLeast"/>
        </w:trPr>
        <w:tc>
          <w:tcPr>
            <w:tcW w:w="79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1158"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rPr>
            </w:pPr>
          </w:p>
        </w:tc>
        <w:tc>
          <w:tcPr>
            <w:tcW w:w="13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医疗保险经办机构信息</w:t>
            </w:r>
          </w:p>
        </w:tc>
        <w:tc>
          <w:tcPr>
            <w:tcW w:w="18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办理基本医疗保险的依据、流程、办理时限、申报材料、缴费标准、经办人员和咨询电话等，简化服务程序，及时审核和支付基本医疗保险费用。基本医疗保险基金收入、支出、结余和投资运营收益等情况</w:t>
            </w:r>
          </w:p>
        </w:tc>
        <w:tc>
          <w:tcPr>
            <w:tcW w:w="33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《湖南省基本医疗保险监督管理办法》（湖南省人民政府令第286号）</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1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t>医疗保障事务中心</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auto"/>
                <w:sz w:val="20"/>
                <w:szCs w:val="20"/>
                <w:u w:val="none"/>
              </w:rPr>
            </w:pPr>
            <w:r>
              <w:rPr>
                <w:rFonts w:hint="default" w:ascii="Times New Roman" w:hAnsi="Times New Roman" w:eastAsia="方正仿宋_GBK" w:cs="Times New Roman"/>
                <w:i w:val="0"/>
                <w:iCs w:val="0"/>
                <w:color w:val="auto"/>
                <w:sz w:val="20"/>
                <w:szCs w:val="20"/>
                <w:u w:val="none"/>
              </w:rPr>
              <w:t>http://www.yuanling.gov.cn/yuanling/c135252/ylbz_zt2023.shtml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2210" w:hRule="atLeast"/>
        </w:trPr>
        <w:tc>
          <w:tcPr>
            <w:tcW w:w="79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1158"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rPr>
            </w:pPr>
          </w:p>
        </w:tc>
        <w:tc>
          <w:tcPr>
            <w:tcW w:w="13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“高效办成一件事”</w:t>
            </w:r>
          </w:p>
        </w:tc>
        <w:tc>
          <w:tcPr>
            <w:tcW w:w="18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涉及医疗保障系统牵头的“高效办成一件事”办理标准化工作规程和办事指南</w:t>
            </w:r>
          </w:p>
        </w:tc>
        <w:tc>
          <w:tcPr>
            <w:tcW w:w="33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《国务院办公厅关于加快推进“一件事一次办”打造政务服务升级版的指导意见》（国办发〔</w:t>
            </w:r>
            <w:r>
              <w:rPr>
                <w:rStyle w:val="6"/>
                <w:rFonts w:hint="default" w:ascii="Times New Roman" w:hAnsi="Times New Roman" w:eastAsia="方正仿宋_GBK" w:cs="Times New Roman"/>
                <w:lang w:val="en-US" w:eastAsia="zh-CN" w:bidi="ar"/>
              </w:rPr>
              <w:t>2022</w:t>
            </w:r>
            <w:r>
              <w:rPr>
                <w:rFonts w:hint="default" w:ascii="Times New Roman" w:hAnsi="Times New Roman" w:eastAsia="方正仿宋_GBK" w:cs="Times New Roman"/>
                <w:i w:val="0"/>
                <w:iCs w:val="0"/>
                <w:color w:val="000000"/>
                <w:kern w:val="0"/>
                <w:sz w:val="20"/>
                <w:szCs w:val="20"/>
                <w:u w:val="none"/>
                <w:lang w:val="en-US" w:eastAsia="zh-CN" w:bidi="ar"/>
              </w:rPr>
              <w:t>〕</w:t>
            </w:r>
            <w:r>
              <w:rPr>
                <w:rStyle w:val="6"/>
                <w:rFonts w:hint="default" w:ascii="Times New Roman" w:hAnsi="Times New Roman" w:eastAsia="方正仿宋_GBK" w:cs="Times New Roman"/>
                <w:lang w:val="en-US" w:eastAsia="zh-CN" w:bidi="ar"/>
              </w:rPr>
              <w:t>32</w:t>
            </w:r>
            <w:r>
              <w:rPr>
                <w:rFonts w:hint="default" w:ascii="Times New Roman" w:hAnsi="Times New Roman" w:eastAsia="方正仿宋_GBK" w:cs="Times New Roman"/>
                <w:i w:val="0"/>
                <w:iCs w:val="0"/>
                <w:color w:val="000000"/>
                <w:kern w:val="0"/>
                <w:sz w:val="20"/>
                <w:szCs w:val="20"/>
                <w:u w:val="none"/>
                <w:lang w:val="en-US" w:eastAsia="zh-CN" w:bidi="ar"/>
              </w:rPr>
              <w:t>号）；《国务院关于进一步优化政务服务提升行政效能推动“高效办成一件事”的指导意见》（国发〔</w:t>
            </w:r>
            <w:r>
              <w:rPr>
                <w:rStyle w:val="6"/>
                <w:rFonts w:hint="default" w:ascii="Times New Roman" w:hAnsi="Times New Roman" w:eastAsia="方正仿宋_GBK" w:cs="Times New Roman"/>
                <w:lang w:val="en-US" w:eastAsia="zh-CN" w:bidi="ar"/>
              </w:rPr>
              <w:t>2024</w:t>
            </w:r>
            <w:r>
              <w:rPr>
                <w:rFonts w:hint="default" w:ascii="Times New Roman" w:hAnsi="Times New Roman" w:eastAsia="方正仿宋_GBK" w:cs="Times New Roman"/>
                <w:i w:val="0"/>
                <w:iCs w:val="0"/>
                <w:color w:val="000000"/>
                <w:kern w:val="0"/>
                <w:sz w:val="20"/>
                <w:szCs w:val="20"/>
                <w:u w:val="none"/>
                <w:lang w:val="en-US" w:eastAsia="zh-CN" w:bidi="ar"/>
              </w:rPr>
              <w:t>〕</w:t>
            </w:r>
            <w:r>
              <w:rPr>
                <w:rStyle w:val="6"/>
                <w:rFonts w:hint="default" w:ascii="Times New Roman" w:hAnsi="Times New Roman" w:eastAsia="方正仿宋_GBK" w:cs="Times New Roman"/>
                <w:lang w:val="en-US" w:eastAsia="zh-CN" w:bidi="ar"/>
              </w:rPr>
              <w:t>3</w:t>
            </w:r>
            <w:r>
              <w:rPr>
                <w:rFonts w:hint="default" w:ascii="Times New Roman" w:hAnsi="Times New Roman" w:eastAsia="方正仿宋_GBK" w:cs="Times New Roman"/>
                <w:i w:val="0"/>
                <w:iCs w:val="0"/>
                <w:color w:val="000000"/>
                <w:kern w:val="0"/>
                <w:sz w:val="20"/>
                <w:szCs w:val="20"/>
                <w:u w:val="none"/>
                <w:lang w:val="en-US" w:eastAsia="zh-CN" w:bidi="ar"/>
              </w:rPr>
              <w:t>号）</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1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w:t>
            </w:r>
            <w:r>
              <w:rPr>
                <w:rStyle w:val="6"/>
                <w:rFonts w:hint="default" w:ascii="Times New Roman" w:hAnsi="Times New Roman" w:eastAsia="方正仿宋_GBK" w:cs="Times New Roman"/>
                <w:lang w:val="en-US" w:eastAsia="zh-CN" w:bidi="ar"/>
              </w:rPr>
              <w:t>20</w:t>
            </w:r>
            <w:r>
              <w:rPr>
                <w:rFonts w:hint="default" w:ascii="Times New Roman" w:hAnsi="Times New Roman" w:eastAsia="方正仿宋_GBK" w:cs="Times New Roman"/>
                <w:i w:val="0"/>
                <w:iCs w:val="0"/>
                <w:color w:val="000000"/>
                <w:kern w:val="0"/>
                <w:sz w:val="20"/>
                <w:szCs w:val="20"/>
                <w:u w:val="none"/>
                <w:lang w:val="en-US" w:eastAsia="zh-CN" w:bidi="ar"/>
              </w:rPr>
              <w:t>个工作日内</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t>医疗保障事务中心</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auto"/>
                <w:sz w:val="20"/>
                <w:szCs w:val="20"/>
                <w:u w:val="none"/>
              </w:rPr>
            </w:pPr>
            <w:r>
              <w:rPr>
                <w:rFonts w:hint="default" w:ascii="Times New Roman" w:hAnsi="Times New Roman" w:eastAsia="方正仿宋_GBK" w:cs="Times New Roman"/>
                <w:i w:val="0"/>
                <w:iCs w:val="0"/>
                <w:color w:val="auto"/>
                <w:sz w:val="20"/>
                <w:szCs w:val="20"/>
                <w:u w:val="none"/>
              </w:rPr>
              <w:t>https://zwfw-new.hunan.gov.cn/onething/v3/efficientOneThing/efficientOneThing.html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2295" w:hRule="atLeast"/>
        </w:trPr>
        <w:tc>
          <w:tcPr>
            <w:tcW w:w="79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lang w:val="en-US"/>
              </w:rPr>
            </w:pPr>
            <w:r>
              <w:rPr>
                <w:rFonts w:hint="default" w:ascii="Times New Roman" w:hAnsi="Times New Roman" w:eastAsia="宋体" w:cs="Times New Roman"/>
                <w:i w:val="0"/>
                <w:iCs w:val="0"/>
                <w:color w:val="000000"/>
                <w:kern w:val="0"/>
                <w:sz w:val="20"/>
                <w:szCs w:val="20"/>
                <w:u w:val="none"/>
                <w:lang w:val="en-US" w:eastAsia="zh-CN" w:bidi="ar"/>
              </w:rPr>
              <w:t>15</w:t>
            </w:r>
          </w:p>
        </w:tc>
        <w:tc>
          <w:tcPr>
            <w:tcW w:w="1158" w:type="dxa"/>
            <w:vMerge w:val="restart"/>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政府信息公开</w:t>
            </w:r>
          </w:p>
        </w:tc>
        <w:tc>
          <w:tcPr>
            <w:tcW w:w="13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政府信息公开指南</w:t>
            </w:r>
          </w:p>
        </w:tc>
        <w:tc>
          <w:tcPr>
            <w:tcW w:w="18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政府信息主动公开、依申请公开有关情况，不予公开的内容，政府信息公开工作机构的名称、办公地址、办公时间、联系电话、传真号码、互联网联系方式等</w:t>
            </w:r>
          </w:p>
        </w:tc>
        <w:tc>
          <w:tcPr>
            <w:tcW w:w="33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w:t>
            </w:r>
            <w:r>
              <w:rPr>
                <w:rStyle w:val="6"/>
                <w:rFonts w:hint="default" w:ascii="Times New Roman" w:hAnsi="Times New Roman" w:eastAsia="方正仿宋_GBK" w:cs="Times New Roman"/>
                <w:lang w:val="en-US" w:eastAsia="zh-CN" w:bidi="ar"/>
              </w:rPr>
              <w:t>711</w:t>
            </w:r>
            <w:r>
              <w:rPr>
                <w:rFonts w:hint="default" w:ascii="Times New Roman" w:hAnsi="Times New Roman" w:eastAsia="方正仿宋_GBK" w:cs="Times New Roman"/>
                <w:i w:val="0"/>
                <w:iCs w:val="0"/>
                <w:color w:val="000000"/>
                <w:kern w:val="0"/>
                <w:sz w:val="20"/>
                <w:szCs w:val="20"/>
                <w:u w:val="none"/>
                <w:lang w:val="en-US" w:eastAsia="zh-CN" w:bidi="ar"/>
              </w:rPr>
              <w:t>号）第十二条</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1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w:t>
            </w:r>
            <w:r>
              <w:rPr>
                <w:rStyle w:val="6"/>
                <w:rFonts w:hint="default" w:ascii="Times New Roman" w:hAnsi="Times New Roman" w:eastAsia="方正仿宋_GBK" w:cs="Times New Roman"/>
                <w:lang w:val="en-US" w:eastAsia="zh-CN" w:bidi="ar"/>
              </w:rPr>
              <w:t>20</w:t>
            </w:r>
            <w:r>
              <w:rPr>
                <w:rFonts w:hint="default" w:ascii="Times New Roman" w:hAnsi="Times New Roman" w:eastAsia="方正仿宋_GBK" w:cs="Times New Roman"/>
                <w:i w:val="0"/>
                <w:iCs w:val="0"/>
                <w:color w:val="000000"/>
                <w:kern w:val="0"/>
                <w:sz w:val="20"/>
                <w:szCs w:val="20"/>
                <w:u w:val="none"/>
                <w:lang w:val="en-US" w:eastAsia="zh-CN" w:bidi="ar"/>
              </w:rPr>
              <w:t>个工作日内</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t>办公室</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auto"/>
                <w:sz w:val="20"/>
                <w:szCs w:val="20"/>
                <w:u w:val="none"/>
              </w:rPr>
            </w:pPr>
            <w:r>
              <w:rPr>
                <w:rFonts w:hint="default" w:ascii="Times New Roman" w:hAnsi="Times New Roman" w:eastAsia="方正仿宋_GBK" w:cs="Times New Roman"/>
                <w:i w:val="0"/>
                <w:iCs w:val="0"/>
                <w:color w:val="auto"/>
                <w:sz w:val="20"/>
                <w:szCs w:val="20"/>
                <w:u w:val="none"/>
              </w:rPr>
              <w:t>https://www.yuanling.gov.cn/yuanling/c119240/singleArticle2020.shtml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90" w:hRule="atLeast"/>
        </w:trPr>
        <w:tc>
          <w:tcPr>
            <w:tcW w:w="79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1158" w:type="dxa"/>
            <w:vMerge w:val="continue"/>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rPr>
            </w:pPr>
          </w:p>
        </w:tc>
        <w:tc>
          <w:tcPr>
            <w:tcW w:w="13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政府信息公开目录</w:t>
            </w:r>
          </w:p>
        </w:tc>
        <w:tc>
          <w:tcPr>
            <w:tcW w:w="18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政府信息主动公开事项目录</w:t>
            </w:r>
          </w:p>
        </w:tc>
        <w:tc>
          <w:tcPr>
            <w:tcW w:w="33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w:t>
            </w:r>
            <w:r>
              <w:rPr>
                <w:rStyle w:val="6"/>
                <w:rFonts w:hint="default" w:ascii="Times New Roman" w:hAnsi="Times New Roman" w:eastAsia="方正仿宋_GBK" w:cs="Times New Roman"/>
                <w:lang w:val="en-US" w:eastAsia="zh-CN" w:bidi="ar"/>
              </w:rPr>
              <w:t>711</w:t>
            </w:r>
            <w:r>
              <w:rPr>
                <w:rFonts w:hint="default" w:ascii="Times New Roman" w:hAnsi="Times New Roman" w:eastAsia="方正仿宋_GBK" w:cs="Times New Roman"/>
                <w:i w:val="0"/>
                <w:iCs w:val="0"/>
                <w:color w:val="000000"/>
                <w:kern w:val="0"/>
                <w:sz w:val="20"/>
                <w:szCs w:val="20"/>
                <w:u w:val="none"/>
                <w:lang w:val="en-US" w:eastAsia="zh-CN" w:bidi="ar"/>
              </w:rPr>
              <w:t>号）第十二条</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1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w:t>
            </w:r>
            <w:r>
              <w:rPr>
                <w:rStyle w:val="6"/>
                <w:rFonts w:hint="default" w:ascii="Times New Roman" w:hAnsi="Times New Roman" w:eastAsia="方正仿宋_GBK" w:cs="Times New Roman"/>
                <w:lang w:val="en-US" w:eastAsia="zh-CN" w:bidi="ar"/>
              </w:rPr>
              <w:t>20</w:t>
            </w:r>
            <w:r>
              <w:rPr>
                <w:rFonts w:hint="default" w:ascii="Times New Roman" w:hAnsi="Times New Roman" w:eastAsia="方正仿宋_GBK" w:cs="Times New Roman"/>
                <w:i w:val="0"/>
                <w:iCs w:val="0"/>
                <w:color w:val="000000"/>
                <w:kern w:val="0"/>
                <w:sz w:val="20"/>
                <w:szCs w:val="20"/>
                <w:u w:val="none"/>
                <w:lang w:val="en-US" w:eastAsia="zh-CN" w:bidi="ar"/>
              </w:rPr>
              <w:t>个工作日内</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t>办公室</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auto"/>
                <w:sz w:val="20"/>
                <w:szCs w:val="20"/>
                <w:u w:val="none"/>
              </w:rPr>
            </w:pPr>
            <w:r>
              <w:rPr>
                <w:rFonts w:hint="default" w:ascii="Times New Roman" w:hAnsi="Times New Roman" w:eastAsia="方正仿宋_GBK" w:cs="Times New Roman"/>
                <w:i w:val="0"/>
                <w:iCs w:val="0"/>
                <w:color w:val="auto"/>
                <w:sz w:val="20"/>
                <w:szCs w:val="20"/>
                <w:u w:val="none"/>
              </w:rPr>
              <w:t>https://www.yuanling.gov.cn/yuanling/c138687/fulllist.shtml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90" w:hRule="atLeast"/>
        </w:trPr>
        <w:tc>
          <w:tcPr>
            <w:tcW w:w="79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1158" w:type="dxa"/>
            <w:vMerge w:val="continue"/>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rPr>
            </w:pPr>
          </w:p>
        </w:tc>
        <w:tc>
          <w:tcPr>
            <w:tcW w:w="13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政府信息公开工作年度报告</w:t>
            </w:r>
          </w:p>
        </w:tc>
        <w:tc>
          <w:tcPr>
            <w:tcW w:w="18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政府信息公开工作年度报告</w:t>
            </w:r>
          </w:p>
        </w:tc>
        <w:tc>
          <w:tcPr>
            <w:tcW w:w="33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w:t>
            </w:r>
            <w:r>
              <w:rPr>
                <w:rStyle w:val="6"/>
                <w:rFonts w:hint="default" w:ascii="Times New Roman" w:hAnsi="Times New Roman" w:eastAsia="方正仿宋_GBK" w:cs="Times New Roman"/>
                <w:lang w:val="en-US" w:eastAsia="zh-CN" w:bidi="ar"/>
              </w:rPr>
              <w:t>711</w:t>
            </w:r>
            <w:r>
              <w:rPr>
                <w:rFonts w:hint="default" w:ascii="Times New Roman" w:hAnsi="Times New Roman" w:eastAsia="方正仿宋_GBK" w:cs="Times New Roman"/>
                <w:i w:val="0"/>
                <w:iCs w:val="0"/>
                <w:color w:val="000000"/>
                <w:kern w:val="0"/>
                <w:sz w:val="20"/>
                <w:szCs w:val="20"/>
                <w:u w:val="none"/>
                <w:lang w:val="en-US" w:eastAsia="zh-CN" w:bidi="ar"/>
              </w:rPr>
              <w:t>号）第四十九条</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1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每年1月31日前向社会公布</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t>办公室</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auto"/>
                <w:sz w:val="20"/>
                <w:szCs w:val="20"/>
                <w:u w:val="none"/>
              </w:rPr>
            </w:pPr>
            <w:r>
              <w:rPr>
                <w:rFonts w:hint="default" w:ascii="Times New Roman" w:hAnsi="Times New Roman" w:eastAsia="方正仿宋_GBK" w:cs="Times New Roman"/>
                <w:i w:val="0"/>
                <w:iCs w:val="0"/>
                <w:color w:val="auto"/>
                <w:sz w:val="20"/>
                <w:szCs w:val="20"/>
                <w:u w:val="none"/>
              </w:rPr>
              <w:t>https://www.yuanling.gov.cn/yuanling/c119241/list2020.shtml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1860" w:hRule="atLeast"/>
        </w:trPr>
        <w:tc>
          <w:tcPr>
            <w:tcW w:w="79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1158" w:type="dxa"/>
            <w:vMerge w:val="continue"/>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rPr>
            </w:pPr>
          </w:p>
        </w:tc>
        <w:tc>
          <w:tcPr>
            <w:tcW w:w="13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政府信息公开工作制度</w:t>
            </w:r>
          </w:p>
        </w:tc>
        <w:tc>
          <w:tcPr>
            <w:tcW w:w="18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包括《中华人民共和国政府信息公开条例》，政府信息公开方面的地方性法规、自治条例、单行条例、规章，以及全国政府信息公开工作主管部门发布的法规解释性文件，原则上不包括其他制度文件</w:t>
            </w:r>
          </w:p>
        </w:tc>
        <w:tc>
          <w:tcPr>
            <w:tcW w:w="33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《国务院办公厅政府信息与政务公开办公室关于规范政府信息公开平台有关事项的通知》（国办公开办函〔</w:t>
            </w:r>
            <w:r>
              <w:rPr>
                <w:rStyle w:val="6"/>
                <w:rFonts w:hint="default" w:ascii="Times New Roman" w:hAnsi="Times New Roman" w:eastAsia="方正仿宋_GBK" w:cs="Times New Roman"/>
                <w:lang w:val="en-US" w:eastAsia="zh-CN" w:bidi="ar"/>
              </w:rPr>
              <w:t>2019</w:t>
            </w:r>
            <w:r>
              <w:rPr>
                <w:rFonts w:hint="default" w:ascii="Times New Roman" w:hAnsi="Times New Roman" w:eastAsia="方正仿宋_GBK" w:cs="Times New Roman"/>
                <w:i w:val="0"/>
                <w:iCs w:val="0"/>
                <w:color w:val="000000"/>
                <w:kern w:val="0"/>
                <w:sz w:val="20"/>
                <w:szCs w:val="20"/>
                <w:u w:val="none"/>
                <w:lang w:val="en-US" w:eastAsia="zh-CN" w:bidi="ar"/>
              </w:rPr>
              <w:t>〕</w:t>
            </w:r>
            <w:r>
              <w:rPr>
                <w:rStyle w:val="6"/>
                <w:rFonts w:hint="default" w:ascii="Times New Roman" w:hAnsi="Times New Roman" w:eastAsia="方正仿宋_GBK" w:cs="Times New Roman"/>
                <w:lang w:val="en-US" w:eastAsia="zh-CN" w:bidi="ar"/>
              </w:rPr>
              <w:t>61</w:t>
            </w:r>
            <w:r>
              <w:rPr>
                <w:rFonts w:hint="default" w:ascii="Times New Roman" w:hAnsi="Times New Roman" w:eastAsia="方正仿宋_GBK" w:cs="Times New Roman"/>
                <w:i w:val="0"/>
                <w:iCs w:val="0"/>
                <w:color w:val="000000"/>
                <w:kern w:val="0"/>
                <w:sz w:val="20"/>
                <w:szCs w:val="20"/>
                <w:u w:val="none"/>
                <w:lang w:val="en-US" w:eastAsia="zh-CN" w:bidi="ar"/>
              </w:rPr>
              <w:t>号）第二部分</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1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w:t>
            </w:r>
            <w:r>
              <w:rPr>
                <w:rStyle w:val="6"/>
                <w:rFonts w:hint="default" w:ascii="Times New Roman" w:hAnsi="Times New Roman" w:eastAsia="方正仿宋_GBK" w:cs="Times New Roman"/>
                <w:lang w:val="en-US" w:eastAsia="zh-CN" w:bidi="ar"/>
              </w:rPr>
              <w:t>20</w:t>
            </w:r>
            <w:r>
              <w:rPr>
                <w:rFonts w:hint="default" w:ascii="Times New Roman" w:hAnsi="Times New Roman" w:eastAsia="方正仿宋_GBK" w:cs="Times New Roman"/>
                <w:i w:val="0"/>
                <w:iCs w:val="0"/>
                <w:color w:val="000000"/>
                <w:kern w:val="0"/>
                <w:sz w:val="20"/>
                <w:szCs w:val="20"/>
                <w:u w:val="none"/>
                <w:lang w:val="en-US" w:eastAsia="zh-CN" w:bidi="ar"/>
              </w:rPr>
              <w:t>个工作日内</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t>办公室</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方正仿宋_GBK" w:cs="Times New Roman"/>
                <w:i w:val="0"/>
                <w:iCs w:val="0"/>
                <w:color w:val="auto"/>
                <w:sz w:val="20"/>
                <w:szCs w:val="20"/>
                <w:u w:val="none"/>
              </w:rPr>
            </w:pPr>
            <w:r>
              <w:rPr>
                <w:rFonts w:hint="default" w:ascii="Times New Roman" w:hAnsi="Times New Roman" w:eastAsia="方正仿宋_GBK" w:cs="Times New Roman"/>
                <w:i w:val="0"/>
                <w:iCs w:val="0"/>
                <w:color w:val="auto"/>
                <w:sz w:val="20"/>
                <w:szCs w:val="20"/>
                <w:u w:val="none"/>
              </w:rPr>
              <w:t>http://www.yuanling.gov.cn/yuanling/c119577/zfxxgkList.shtml</w:t>
            </w: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2000000000000000000"/>
    <w:charset w:val="86"/>
    <w:family w:val="script"/>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仿宋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3686B66"/>
    <w:rsid w:val="13686B66"/>
    <w:rsid w:val="763E5F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240" w:lineRule="atLeast"/>
      <w:jc w:val="both"/>
    </w:pPr>
    <w:rPr>
      <w:rFonts w:ascii="Times New Roman" w:hAnsi="Times New Roman" w:eastAsia="仿宋_GB2312" w:cs="Times New Roman"/>
      <w:spacing w:val="-6"/>
      <w:kern w:val="2"/>
      <w:sz w:val="32"/>
      <w:lang w:val="en-US" w:eastAsia="zh-CN" w:bidi="ar-SA"/>
    </w:rPr>
  </w:style>
  <w:style w:type="paragraph" w:styleId="2">
    <w:name w:val="heading 5"/>
    <w:basedOn w:val="1"/>
    <w:next w:val="1"/>
    <w:qFormat/>
    <w:uiPriority w:val="0"/>
    <w:pPr>
      <w:keepNext/>
      <w:keepLines/>
      <w:spacing w:before="280" w:after="290" w:line="374" w:lineRule="auto"/>
      <w:outlineLvl w:val="4"/>
    </w:pPr>
    <w:rPr>
      <w:b/>
      <w:bCs/>
      <w:sz w:val="28"/>
      <w:szCs w:val="28"/>
    </w:rPr>
  </w:style>
  <w:style w:type="character" w:default="1" w:styleId="4">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character" w:customStyle="1" w:styleId="5">
    <w:name w:val="font71"/>
    <w:basedOn w:val="4"/>
    <w:qFormat/>
    <w:uiPriority w:val="0"/>
    <w:rPr>
      <w:rFonts w:hint="default" w:ascii="Times New Roman" w:hAnsi="Times New Roman" w:cs="Times New Roman"/>
      <w:color w:val="000000"/>
      <w:sz w:val="20"/>
      <w:szCs w:val="20"/>
      <w:u w:val="none"/>
    </w:rPr>
  </w:style>
  <w:style w:type="character" w:customStyle="1" w:styleId="6">
    <w:name w:val="font31"/>
    <w:basedOn w:val="4"/>
    <w:qFormat/>
    <w:uiPriority w:val="0"/>
    <w:rPr>
      <w:rFonts w:hint="default" w:ascii="Times New Roman" w:hAnsi="Times New Roman" w:cs="Times New Roman"/>
      <w:color w:val="000000"/>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2025-12-26T13:08:00Z</dcterms:created>
  <dc:creator>I</dc:creator>
  <cp:lastModifiedBy>I</cp:lastModifiedBy>
  <dcterms:modified xsi:type="dcterms:W3CDTF">2025-12-26T13:38:50Z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ies>
</file>