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eastAsia="方正小标宋_GBK" w:cs="Times New Roman"/>
          <w:b w:val="0"/>
          <w:bCs w:val="0"/>
          <w:sz w:val="36"/>
          <w:szCs w:val="36"/>
          <w:lang w:val="en-US" w:eastAsia="zh-CN"/>
        </w:rPr>
        <w:t>沅陵县</w:t>
      </w:r>
      <w:r>
        <w:rPr>
          <w:rFonts w:hint="default" w:ascii="Times New Roman" w:hAnsi="Times New Roman" w:eastAsia="方正小标宋_GBK" w:cs="Times New Roman"/>
          <w:b w:val="0"/>
          <w:bCs w:val="0"/>
          <w:sz w:val="36"/>
          <w:szCs w:val="36"/>
          <w:lang w:val="en-US" w:eastAsia="zh-CN"/>
        </w:rPr>
        <w:t>教育</w:t>
      </w:r>
      <w:r>
        <w:rPr>
          <w:rFonts w:hint="eastAsia" w:eastAsia="方正小标宋_GBK" w:cs="Times New Roman"/>
          <w:b w:val="0"/>
          <w:bCs w:val="0"/>
          <w:sz w:val="36"/>
          <w:szCs w:val="36"/>
          <w:lang w:val="en-US" w:eastAsia="zh-CN"/>
        </w:rPr>
        <w:t>局</w:t>
      </w:r>
      <w:r>
        <w:rPr>
          <w:rFonts w:hint="default" w:ascii="Times New Roman" w:hAnsi="Times New Roman" w:eastAsia="方正小标宋_GBK" w:cs="Times New Roman"/>
          <w:b w:val="0"/>
          <w:bCs w:val="0"/>
          <w:sz w:val="36"/>
          <w:szCs w:val="36"/>
          <w:lang w:val="en-US" w:eastAsia="zh-CN"/>
        </w:rPr>
        <w:t>政府信息主动公开事项目录</w:t>
      </w:r>
    </w:p>
    <w:p>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Times New Roman" w:hAnsi="Times New Roman" w:eastAsia="楷体" w:cs="Times New Roman"/>
          <w:b/>
          <w:bCs/>
          <w:sz w:val="28"/>
          <w:szCs w:val="28"/>
          <w:lang w:val="en-US" w:eastAsia="zh-CN"/>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沅陵县</w:t>
      </w:r>
      <w:r>
        <w:rPr>
          <w:rFonts w:hint="default" w:ascii="Times New Roman" w:hAnsi="Times New Roman" w:eastAsia="楷体" w:cs="Times New Roman"/>
          <w:b/>
          <w:bCs/>
          <w:kern w:val="2"/>
          <w:sz w:val="28"/>
          <w:szCs w:val="28"/>
          <w:lang w:val="en-US" w:eastAsia="zh-CN" w:bidi="ar-SA"/>
        </w:rPr>
        <w:t>教育</w:t>
      </w:r>
      <w:r>
        <w:rPr>
          <w:rFonts w:hint="eastAsia" w:eastAsia="楷体" w:cs="Times New Roman"/>
          <w:b/>
          <w:bCs/>
          <w:kern w:val="2"/>
          <w:sz w:val="28"/>
          <w:szCs w:val="28"/>
          <w:lang w:val="en-US" w:eastAsia="zh-CN" w:bidi="ar-SA"/>
        </w:rPr>
        <w:t>局</w:t>
      </w:r>
    </w:p>
    <w:tbl>
      <w:tblPr>
        <w:tblStyle w:val="3"/>
        <w:tblW w:w="14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1"/>
        <w:gridCol w:w="1088"/>
        <w:gridCol w:w="1719"/>
        <w:gridCol w:w="1754"/>
        <w:gridCol w:w="2930"/>
        <w:gridCol w:w="1106"/>
        <w:gridCol w:w="1964"/>
        <w:gridCol w:w="1193"/>
        <w:gridCol w:w="1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tblHead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2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1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kern w:val="0"/>
                <w:sz w:val="21"/>
                <w:szCs w:val="21"/>
                <w:u w:val="none"/>
                <w:lang w:val="en-US" w:eastAsia="zh-CN" w:bidi="ar"/>
              </w:rPr>
            </w:pPr>
            <w:r>
              <w:rPr>
                <w:rFonts w:hint="default" w:ascii="Times New Roman" w:hAnsi="Times New Roman" w:eastAsia="黑体" w:cs="Times New Roman"/>
                <w:i w:val="0"/>
                <w:iCs w:val="0"/>
                <w:color w:val="auto"/>
                <w:kern w:val="0"/>
                <w:sz w:val="21"/>
                <w:szCs w:val="21"/>
                <w:u w:val="none"/>
                <w:lang w:val="en-US" w:eastAsia="zh-CN" w:bidi="ar"/>
              </w:rPr>
              <w:t>链接地址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110" w:hRule="atLeast"/>
        </w:trPr>
        <w:tc>
          <w:tcPr>
            <w:tcW w:w="791" w:type="dxa"/>
            <w:vMerge w:val="restar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w:t>
            </w:r>
          </w:p>
        </w:tc>
        <w:tc>
          <w:tcPr>
            <w:tcW w:w="1088" w:type="dxa"/>
            <w:vMerge w:val="restar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政策文件</w:t>
            </w:r>
          </w:p>
        </w:tc>
        <w:tc>
          <w:tcPr>
            <w:tcW w:w="171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行政规范性文件</w:t>
            </w:r>
          </w:p>
        </w:tc>
        <w:tc>
          <w:tcPr>
            <w:tcW w:w="175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行政规范性文件</w:t>
            </w:r>
          </w:p>
        </w:tc>
        <w:tc>
          <w:tcPr>
            <w:tcW w:w="293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110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96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119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eastAsia"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行政审批</w:t>
            </w:r>
          </w:p>
          <w:p>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服务股</w:t>
            </w:r>
          </w:p>
        </w:tc>
        <w:tc>
          <w:tcPr>
            <w:tcW w:w="154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rPr>
              <w:t>https://www.yuanling.gov.cn/yuanling/c108858/zfxxgkMultiList.shtml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131" w:hRule="atLeast"/>
        </w:trPr>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其他政策文件</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除行政规范性文件以外的其他可以公开的文件</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eastAsia"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行政审批</w:t>
            </w:r>
          </w:p>
          <w:p>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服务股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https://www.yuanling.gov.cn/yuanling/c118858/list2020.shtml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96" w:hRule="atLeast"/>
        </w:trPr>
        <w:tc>
          <w:tcPr>
            <w:tcW w:w="7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2</w:t>
            </w:r>
          </w:p>
        </w:tc>
        <w:tc>
          <w:tcPr>
            <w:tcW w:w="10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机构概况</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领导信息</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单位负责人姓名、职务、主管或分管工作等</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https://www.yuanling.gov.cn/yuanling/c118857/bmxz_jgzn.shtml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60" w:hRule="atLeast"/>
        </w:trPr>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机构信息</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依据三定方案确定的机关职能，以及机构设置、办公地址、办公时间、联系方式等</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大中专生</w:t>
            </w:r>
          </w:p>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就业指导</w:t>
            </w:r>
          </w:p>
          <w:p>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中心</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https://www.yuanling.gov.cn/yuanling/c118857/bmxz_jgzn.shtml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325"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规划计划</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教育领域</w:t>
            </w:r>
          </w:p>
          <w:p>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发展规划</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涉及教育业务职能的中长期规划、年度工作计划信息和规划执行情况</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基教股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https://www.yuanling.gov.cn/yuanling/c118861/list2020.shtml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31"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政务服务</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教育领域政务服务事项信息</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教育领域办理行政许可和其他对外管理服务事项目录，行使事项的依据、条件、程序以及办理结果</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自该政府信息形成或者变更之日起20个工作日内；行政许可自决定之日起7个工作日内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eastAsia"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行政审批</w:t>
            </w:r>
          </w:p>
          <w:p>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服务股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rPr>
              <w:t>http://zwfw-new.hunan.gov.cn/onething/service/index.jsp?type=xndtgr&amp;main=1&amp;areacode=431222999000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行政处罚</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教育领域行政处罚信息</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教育领域实施行政处罚的依据、条件、程序以及本行政机关认为具有一定社会影响的行政处罚决定</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；《中华人民共和国政府信息公开条例》（国务院令第711号）第二十条；《国务院关于建立完善守信联合激励和失信联合惩戒制度加快推进社会诚信建设的指导意见》（国发〔2016〕33号）第（十七）条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自该政府信息形成或者变更之日起20个工作日内；行政处罚自决定之日起7个工作日内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eastAsia"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行政审批</w:t>
            </w:r>
          </w:p>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服务股牵头，校外教育监管股、基教股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http://www.yuanling.gov.cn/yuanling/c132243/zfxxgkList.shtml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96" w:hRule="atLeast"/>
        </w:trPr>
        <w:tc>
          <w:tcPr>
            <w:tcW w:w="7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6</w:t>
            </w:r>
          </w:p>
        </w:tc>
        <w:tc>
          <w:tcPr>
            <w:tcW w:w="10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财政预算、决算</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预算、决算</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部门预算、决算及执行情况</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《中华人民共和国预算法》 第十四条；《中华人民共和国预算法实施条例》第六条；《中华人民共和国政府信息公开条例》（国务院令第711号）第二十条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计财股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rPr>
              <w:t>http://www.yuanling.gov.cn/yuanling/c108873/zfxxgkMultiList.shtml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0" w:hRule="atLeast"/>
        </w:trPr>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“三公”经费</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“三公”经费财政拨款预算总额和分项数额，对增减变化的原因说明</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《中华人民共和国预算法》 第十四条；《中华人民共和国预算法实施条例》第六条；《中华人民共和国政府信息公开条例》（国务院令第711号）第二十条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计财股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rPr>
              <w:t>http://www.yuanling.gov.cn/yuanling/c108873/zfxxgkMultiList.shtml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25" w:hRule="atLeast"/>
        </w:trPr>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绩效评价</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按要求将项目支出绩效评价结果编入预算并公开</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计财股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rPr>
              <w:t>http://www.yuanling.gov.cn/yuanling/c108873/zfxxgkMultiList.shtml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70"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行政事业性收费信息</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行政事业性收费清单</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行政事业性收费的收费主体、收费对象、收费范围、计费（量）单位和标准、收费频次等</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计财股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rPr>
              <w:t>http://www.yuanling.gov.cn/yuanling/c131815/list2020.shtml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政府采购</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政府集中采购项目的实施情况</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包括采购项目公告、采购文件、采购项目预算金额、采购结果、采购合同等信息</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办公室牵头，相关股室申办</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rPr>
              <w:t>http://www.yuanling.gov.cn/yuanling/c109038/zfxxgkMultiList.shtml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095"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重大建设项目</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教育领域重大建设项目的批准和实施情况</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教育领域重大建设项目名称、审批、核准、备案和批准结果信息，实施过程、结果和社会效果等信息</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《中华人民共和国政府信息公开条例》（国务院令第711号）第二十条；《国务院办公厅关于推进重大建设项目批准和实施领域政府信息公开的意见》（国办发〔2017〕94号）</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计财股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snapToGrid w:val="0"/>
                <w:color w:val="auto"/>
                <w:kern w:val="21"/>
                <w:sz w:val="20"/>
                <w:szCs w:val="20"/>
                <w:lang w:val="en-US" w:eastAsia="zh-CN"/>
              </w:rPr>
              <w:t>https://www.yuanling.gov.cn/yuanling/c138709/zfxxgkList.shtml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165"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应急管理</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突发公共事件的应急预案、预警信息及应对情况</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教育领域突发公共事件应急预案，发布的预警信息和事件应对情况</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《中华人民共和国政府信息公开条例》（国务院令第711号）第二十条；《国务院办公厅关于印发&lt;突发事件应急预案管理办法&gt;的通知》（国办发〔2024〕5号）第二十八条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eastAsia"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安全监督</w:t>
            </w:r>
          </w:p>
          <w:p>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管理股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http://www.yuanling.gov.cn/yuanling/c108888/zfxxgkMultiList.shtml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295"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建议提案</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人大代表建议和政协提案办理</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对涉及公共利益、公众权益、社会关切及需要社会广泛知晓的省人大代表建议、省政协提案及其答复意见经审查可以公开的</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自该政府信息形成或者变更之日起20个工作日内；省人大代表建议和省政协提案在答复代表和提案者后一个月内开</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督导室</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https://www.yuanling.gov.cn/yuanling/c138710/zfxxgkList.shtml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145"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法治政府建设年度报告</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法治政府建设年度报告</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中共中央办公厅 国务院办公厅印发《法治政府建设与责任落实督察工作规定》第二十四条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每年4月1日之前</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行政审批股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https://www.yuanling.gov.cn/yuanling/c118858/list2020.shtml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95" w:hRule="atLeast"/>
        </w:trPr>
        <w:tc>
          <w:tcPr>
            <w:tcW w:w="7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14</w:t>
            </w:r>
          </w:p>
        </w:tc>
        <w:tc>
          <w:tcPr>
            <w:tcW w:w="10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业务事项</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教育督导信息</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教育督导报告</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《中华人民共和国义务教育法》第八条；《中华人民共和国学前教育法》第七十三条；《中华人民共和国民办教育促进法实施条例》（中华人民共和国国务院令第741号）第五十一条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督导室</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https://www.yuanling.gov.cn/yuanling/c133095/2021jczwgk_gkly.shtml?id=8ae596927d03c7e9017d03e629da0176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30" w:hRule="atLeast"/>
        </w:trPr>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民办教育</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民办学校准入条件、审批程序，办学资质、办学质量、招生范围和收费等信息，办学水平和教育质量评估结果</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民办教育促进法实施条例》（中华人民共和国国务院令第741号）；《国务院关于鼓励社会力量兴办教育促进民办教育健康发展的若干意见》（国发〔2016〕81号）；《国务院办公厅关于推进社会公益事业建设领域政府信息公开的意见》(国办发〔2018〕10号)第三部分第（三）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负责股室</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https://www.yuanling.gov.cn/yuanling/c133095/2021jczwgk_gkly.shtml?id=8ae596927d03c7e9017d03e629da0176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06" w:hRule="atLeast"/>
        </w:trPr>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义务教育</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义务教育相关政策、发展规划、经费投入和使用、困难学生资助实施情况等信息；义务教育控辍保学、县域义务教育均衡发展等工作进展情况；义务教育阶段招生入学相关信息</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国务院办公厅关于推进社会公益事业建设领域政府信息公开的意见》（国办发〔2018〕10号）（国办发〔2018〕10号）第三部分第（三）条；《教育部办公厅关于开展义务教育阳光招生专项行动（2025）的通知》（教基厅函〔2025〕5号）</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负责股室</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https://www.yuanling.gov.cn/yuanling/c133095/2021jczwgk_gkly.shtml?id=8ae596927d03c7e9017d03e629da0176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460" w:hRule="atLeast"/>
        </w:trPr>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学前教育</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学前教育相关政策、发展规划、经费投入和使用等信息</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《国务院办公厅关于推进社会公益事业建设领域政府信息公开的意见》（国办发〔2018〕10号）第三部分第（三）条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负责股室</w:t>
            </w:r>
          </w:p>
        </w:tc>
        <w:tc>
          <w:tcPr>
            <w:tcW w:w="1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https://www.yuanling.gov.cn/yuanling/c118858/list2020.shtml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20" w:hRule="atLeast"/>
        </w:trPr>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特殊教育</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特殊教育相关政策、发展规划、经费投入和使用等信息</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《国务院办公厅关于推进社会公益事业建设领域政府信息公开的意见》（国办发〔2018〕10号）第三部分第（三）条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负责股室</w:t>
            </w:r>
          </w:p>
        </w:tc>
        <w:tc>
          <w:tcPr>
            <w:tcW w:w="1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https://www.yuanling.gov.cn/yuanling/c118858/list2020.shtml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375" w:hRule="atLeast"/>
        </w:trPr>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职业教育</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职业教育相关政策、发展规划、经费投入和使用等信息，公开中等职业教育质量年度报告</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《国务院办公厅关于推进社会公益事业建设领域政府信息公开的意见》（国办发〔2018〕10号）第三部分第（三）条；《教育部办公厅关于开展中等职业教育质量年度报告工作的通知》（教职成厅函〔2016〕2号）</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负责股室</w:t>
            </w:r>
          </w:p>
        </w:tc>
        <w:tc>
          <w:tcPr>
            <w:tcW w:w="1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https://www.yuanling.gov.cn/yuanling/c118858/list2020.shtml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800" w:hRule="atLeast"/>
        </w:trPr>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学生资助</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学生资助政策及资金使用管理等信息；教育扶贫重大政策、重大项目、重大资金安排、工作进展等重要信息</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《教育部 财政部关于进一步加强学生资助政策宣传工作的通知》（教财〔2015〕8号）第一部分；《教育部关于印发&lt;教育系统扶贫领域作风问题专项治理实施方案&gt;的通知》（教发〔2018〕2号）第三部分第（六）条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计财股</w:t>
            </w:r>
          </w:p>
        </w:tc>
        <w:tc>
          <w:tcPr>
            <w:tcW w:w="1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https://www.yuanling.gov.cn/yuanling/c118858/list2020.shtml</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405" w:hRule="atLeast"/>
        </w:trPr>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“高效办成一件事”</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涉及教育系统牵头的“高效办成一件事”办理标准化工作规程和办事指南</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国务院办公厅关于加快推进“一件事一次办”打造政务服务升级版的指导意见》（国办发〔2022〕32号）；《国务院关于进一步优化政务服务提升行政效能推动“高效办成一件事”的指导意见》（国发〔2024〕3号）</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行政审批股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snapToGrid w:val="0"/>
                <w:color w:val="auto"/>
                <w:kern w:val="21"/>
                <w:sz w:val="20"/>
                <w:szCs w:val="20"/>
                <w:lang w:val="en-US" w:eastAsia="zh-CN" w:bidi="ar-SA"/>
              </w:rPr>
              <w:t>https://zwfw-new.hunan.gov.cn/onething/v3/efficientOneThing/efficientOneThing.html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50" w:hRule="atLeast"/>
        </w:trPr>
        <w:tc>
          <w:tcPr>
            <w:tcW w:w="7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15</w:t>
            </w:r>
          </w:p>
        </w:tc>
        <w:tc>
          <w:tcPr>
            <w:tcW w:w="1088"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政府信息公开</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政府信息公开指南</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政府信息主动公开、依申请公开有关情况，不予公开的内容，政府信息公开工作机构的名称、办公地址、办公时间、联系电话、传真号码、互联网联系方式等</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《中华人民共和国政府信息公开条例》（国务院令第711号）第十二条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https://www.yuanling.gov.cn/yuanling/c118862/singleArticle2020.shtml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44" w:hRule="atLeast"/>
        </w:trPr>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1088"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政府信息公开目录</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政府信息主动公开事项目录</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《中华人民共和国政府信息公开条例》（国务院令第711号）第十二条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https://www.yuanling.gov.cn/yuanling/c138687/fulllist.shtml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44" w:hRule="atLeast"/>
        </w:trPr>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1088"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政府信息公开工作年度报告</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政府信息公开工作年度报告</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《中华人民共和国政府信息公开条例》（国务院令第711号）第四十九条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每年1月31日前向社会公布</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https://www.yuanling.gov.cn/yuanling/c118863/list2020.shtml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640" w:hRule="atLeast"/>
        </w:trPr>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1088"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政府信息公开工作制度</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《国务院办公厅政府信息与政务公开办公室关于规范政府信息公开平台有关事项的通知》（国办公开办函〔2019〕61号）第二部分</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行政审批股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rPr>
              <w:t>http://www.yuanling.gov.cn/yuanling/c119577/zfxxgkList.shtml</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2712B"/>
    <w:rsid w:val="00464715"/>
    <w:rsid w:val="5E12712B"/>
    <w:rsid w:val="737A5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4240</Words>
  <Characters>5734</Characters>
  <Lines>0</Lines>
  <Paragraphs>0</Paragraphs>
  <TotalTime>4</TotalTime>
  <ScaleCrop>false</ScaleCrop>
  <LinksUpToDate>false</LinksUpToDate>
  <CharactersWithSpaces>5738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2025-12-25T13:27:00Z</dcterms:created>
  <dc:creator>I</dc:creator>
  <cp:lastModifiedBy>I</cp:lastModifiedBy>
  <dcterms:modified xsi:type="dcterms:W3CDTF">2025-12-26T09:21:56Z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eyJoZGlkIjoiMGQ3OGIxN2UxODllNzk3N2UxOTZiYzI1MWQ5NDc5ZjciLCJ1c2VySWQiOiI0MDc4NTE4ODcifQ==</vt:lpwstr>
  </property>
  <property fmtid="{D5CDD505-2E9C-101B-9397-08002B2CF9AE}" pid="4" name="ICV">
    <vt:lpwstr>8983CD56F1FB4139858914E34936BEB4_13</vt:lpwstr>
  </property>
</Properties>
</file>