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5"/>
        <w:keepNext w:val="0"/>
        <w:keepLines w:val="0"/>
        <w:widowControl w:val="0"/>
        <w:overflowPunct w:val="0"/>
        <w:spacing w:line="360" w:lineRule="exact"/>
        <w:jc w:val="center"/>
        <w:rPr>
          <w:rFonts w:ascii="Times New Roman" w:eastAsia="方正小标宋_GBK" w:cs="Times New Roman" w:hAnsi="Times New Roman"/>
          <w:b w:val="0"/>
          <w:bCs w:val="0"/>
          <w:sz w:val="36"/>
          <w:szCs w:val="36"/>
          <w:lang w:val="en-US" w:eastAsia="zh-CN"/>
        </w:rPr>
      </w:pPr>
      <w:r>
        <w:rPr>
          <w:rFonts w:eastAsia="方正小标宋_GBK" w:cs="Times New Roman" w:hint="eastAsia"/>
          <w:b w:val="0"/>
          <w:bCs w:val="0"/>
          <w:sz w:val="36"/>
          <w:szCs w:val="36"/>
          <w:lang w:val="en-US" w:eastAsia="zh-CN"/>
        </w:rPr>
        <w:t>沅陵县</w:t>
      </w:r>
      <w:r>
        <w:rPr>
          <w:rFonts w:ascii="Times New Roman" w:eastAsia="方正小标宋_GBK" w:cs="Times New Roman" w:hAnsi="Times New Roman"/>
          <w:b w:val="0"/>
          <w:bCs w:val="0"/>
          <w:sz w:val="36"/>
          <w:szCs w:val="36"/>
          <w:lang w:val="en-US" w:eastAsia="zh-CN"/>
        </w:rPr>
        <w:t>机关事务</w:t>
      </w:r>
      <w:r>
        <w:rPr>
          <w:rFonts w:eastAsia="方正小标宋_GBK" w:cs="Times New Roman" w:hint="eastAsia"/>
          <w:b w:val="0"/>
          <w:bCs w:val="0"/>
          <w:sz w:val="36"/>
          <w:szCs w:val="36"/>
          <w:lang w:val="en-US" w:eastAsia="zh-CN"/>
        </w:rPr>
        <w:t>中心</w:t>
      </w:r>
      <w:r>
        <w:rPr>
          <w:rFonts w:ascii="Times New Roman" w:eastAsia="方正小标宋_GBK" w:cs="Times New Roman" w:hAnsi="Times New Roman"/>
          <w:b w:val="0"/>
          <w:bCs w:val="0"/>
          <w:sz w:val="36"/>
          <w:szCs w:val="36"/>
          <w:lang w:val="en-US" w:eastAsia="zh-CN"/>
        </w:rPr>
        <w:t>政府信息主动公开事项目录</w:t>
      </w:r>
    </w:p>
    <w:p>
      <w:pPr>
        <w:keepNext w:val="0"/>
        <w:keepLines w:val="0"/>
        <w:widowControl/>
        <w:suppressLineNumbers w:val="0"/>
        <w:spacing w:line="360" w:lineRule="exact"/>
        <w:jc w:val="center"/>
        <w:textAlignment w:val="baseline"/>
        <w:rPr>
          <w:rStyle w:val="15"/>
          <w:rFonts w:ascii="Times New Roman" w:eastAsia="方正仿宋_GBK" w:cs="Times New Roman" w:hAnsi="Times New Roman"/>
          <w:i w:val="0"/>
          <w:iCs w:val="0"/>
          <w:lang w:val="en-US" w:eastAsia="zh-CN"/>
        </w:rPr>
      </w:pPr>
      <w:r>
        <w:rPr>
          <w:rFonts w:ascii="Times New Roman" w:eastAsia="楷体" w:cs="Times New Roman" w:hAnsi="Times New Roman"/>
          <w:b/>
          <w:bCs/>
          <w:kern w:val="2"/>
          <w:sz w:val="28"/>
          <w:szCs w:val="28"/>
          <w:lang w:val="en-US" w:eastAsia="zh-CN" w:bidi="ar-SA"/>
        </w:rPr>
        <w:t>公开主体：</w:t>
      </w:r>
      <w:r>
        <w:rPr>
          <w:rFonts w:eastAsia="楷体" w:cs="Times New Roman" w:hint="eastAsia"/>
          <w:b/>
          <w:bCs/>
          <w:kern w:val="2"/>
          <w:sz w:val="28"/>
          <w:szCs w:val="28"/>
          <w:lang w:val="en-US" w:eastAsia="zh-CN" w:bidi="ar-SA"/>
        </w:rPr>
        <w:t>沅陵县</w:t>
      </w:r>
      <w:r>
        <w:rPr>
          <w:rFonts w:ascii="Times New Roman" w:eastAsia="楷体" w:cs="Times New Roman" w:hAnsi="Times New Roman"/>
          <w:b/>
          <w:bCs/>
          <w:kern w:val="2"/>
          <w:sz w:val="28"/>
          <w:szCs w:val="28"/>
          <w:lang w:val="en-US" w:eastAsia="zh-CN" w:bidi="ar-SA"/>
        </w:rPr>
        <w:t>机关事务</w:t>
      </w:r>
      <w:r>
        <w:rPr>
          <w:rFonts w:eastAsia="楷体" w:cs="Times New Roman" w:hint="eastAsia"/>
          <w:b/>
          <w:bCs/>
          <w:kern w:val="2"/>
          <w:sz w:val="28"/>
          <w:szCs w:val="28"/>
          <w:lang w:val="en-US" w:eastAsia="zh-CN" w:bidi="ar-SA"/>
        </w:rPr>
        <w:t>中心</w:t>
      </w:r>
    </w:p>
    <w:tbl>
      <w:tblPr>
        <w:jc w:val="left"/>
        <w:tblInd w:w="17" w:type="dxa"/>
        <w:tblW w:w="1412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837"/>
        <w:gridCol w:w="1125"/>
        <w:gridCol w:w="1289"/>
        <w:gridCol w:w="1889"/>
        <w:gridCol w:w="3390"/>
        <w:gridCol w:w="1063"/>
        <w:gridCol w:w="1948"/>
        <w:gridCol w:w="1168"/>
        <w:gridCol w:w="1420"/>
      </w:tblGrid>
      <w:tr>
        <w:trPr>
          <w:cantSplit/>
          <w:trHeight w:val="90"/>
          <w:tblHeader/>
        </w:trPr>
        <w:tc>
          <w:tcPr>
            <w:tcW w:w="83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序号</w:t>
            </w:r>
          </w:p>
        </w:tc>
        <w:tc>
          <w:tcPr>
            <w:tcW w:w="1125"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事项类别</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事项名称</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公开内容</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公开依据</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公开渠道</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公开时限</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hint="eastAsia"/>
                <w:i w:val="0"/>
                <w:iCs w:val="0"/>
                <w:color w:val="000000"/>
                <w:sz w:val="21"/>
                <w:szCs w:val="21"/>
                <w:u w:val="none"/>
                <w:lang w:eastAsia="zh-CN"/>
              </w:rPr>
            </w:pPr>
            <w:r>
              <w:rPr>
                <w:rFonts w:eastAsia="黑体" w:cs="Times New Roman" w:hint="eastAsia"/>
                <w:i w:val="0"/>
                <w:iCs w:val="0"/>
                <w:color w:val="000000"/>
                <w:sz w:val="21"/>
                <w:szCs w:val="21"/>
                <w:u w:val="none"/>
                <w:lang w:eastAsia="zh-CN"/>
              </w:rPr>
              <w:t>公开职责</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黑体" w:cs="Times New Roman" w:hAnsi="Times New Roman"/>
                <w:i w:val="0"/>
                <w:iCs w:val="0"/>
                <w:color w:val="000000"/>
                <w:sz w:val="21"/>
                <w:szCs w:val="21"/>
                <w:u w:val="none"/>
              </w:rPr>
            </w:pPr>
            <w:r>
              <w:rPr>
                <w:rFonts w:ascii="Times New Roman" w:eastAsia="黑体" w:cs="Times New Roman" w:hAnsi="Times New Roman"/>
                <w:i w:val="0"/>
                <w:iCs w:val="0"/>
                <w:color w:val="000000"/>
                <w:kern w:val="0"/>
                <w:sz w:val="21"/>
                <w:szCs w:val="21"/>
                <w:u w:val="none"/>
                <w:lang w:val="en-US" w:eastAsia="zh-CN"/>
              </w:rPr>
              <w:t>链接地址</w:t>
            </w:r>
          </w:p>
        </w:tc>
      </w:tr>
      <w:tr>
        <w:trPr>
          <w:cantSplit/>
          <w:trHeight w:val="1066"/>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1</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政策文件</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行政规范性文件</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行政规范性文件</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https://www.yuanling.gov.cn/yuanling/c108858/zfxxgkMultiList.shtml</w:t>
            </w:r>
          </w:p>
        </w:tc>
      </w:tr>
      <w:tr>
        <w:trPr>
          <w:cantSplit/>
          <w:trHeight w:val="1206"/>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其他政策文件</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除行政规范性文件以外的其他可以公开的文件</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p>
        </w:tc>
      </w:tr>
      <w:tr>
        <w:trPr>
          <w:cantSplit/>
          <w:trHeight w:val="1031"/>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2</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机构概况</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领导信息</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单位负责人姓名、职务、主管或分管工作等</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p>
        </w:tc>
      </w:tr>
      <w:tr>
        <w:trPr>
          <w:cantSplit/>
          <w:trHeight w:val="1666"/>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机构信息</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依据三定方案确定的机关职能，以及机构设置、办公地址、办公时间、联系方式等</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p>
        </w:tc>
      </w:tr>
      <w:tr>
        <w:trPr>
          <w:cantSplit/>
          <w:trHeight w:val="960"/>
        </w:trPr>
        <w:tc>
          <w:tcPr>
            <w:tcW w:w="83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3</w:t>
            </w:r>
          </w:p>
        </w:tc>
        <w:tc>
          <w:tcPr>
            <w:tcW w:w="1125"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规划计划</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机关事务领域规划计划</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涉及机关事务业务职能的中长期计划、年度工作计划信息、计划执行情况</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p>
        </w:tc>
      </w:tr>
      <w:tr>
        <w:trPr>
          <w:cantSplit/>
          <w:trHeight w:val="1745"/>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6</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财政预算、决算</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预算、决算</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部门预算、决算及执行情况</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《中华人民共和国预算法》 第十四条；《中华人民共和国预算法实施条例》第六条；《中华人民共和国政府信息公开条例》（国务院令第711号）第二十条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000000"/>
                <w:sz w:val="20"/>
                <w:szCs w:val="20"/>
                <w:u w:val="none"/>
              </w:rPr>
              <w:t>批准（批复）后20日内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财务部</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http://www.yuanling.gov.cn/yuanling/c108873/zfxxgkMultiList.shtml</w:t>
            </w:r>
          </w:p>
        </w:tc>
      </w:tr>
      <w:tr>
        <w:trPr>
          <w:cantSplit/>
          <w:trHeight w:val="560"/>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“三公”经费</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“三公”经费财政拨款预算总额和分项数额，对增减变化的原因说明</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《中华人民共和国预算法》 第十四条；《中华人民共和国预算法实施条例》第六条；《中华人民共和国政府信息公开条例》（国务院令第711号）第二十条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000000"/>
                <w:sz w:val="20"/>
                <w:szCs w:val="20"/>
                <w:u w:val="none"/>
              </w:rPr>
              <w:t>批准（批复）后20日内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财务部</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http://www.yuanling.gov.cn/yuanling/c108873/zfxxgkMultiList.shtml</w:t>
            </w:r>
          </w:p>
        </w:tc>
      </w:tr>
      <w:tr>
        <w:trPr>
          <w:cantSplit/>
          <w:trHeight w:val="126"/>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绩效评价</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按要求将项目支出绩效评价结果编入预算并公开</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财务部</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http://www.yuanling.gov.cn/yuanling/c108873/zfxxgkMultiList.shtml</w:t>
            </w:r>
          </w:p>
        </w:tc>
      </w:tr>
      <w:tr>
        <w:trPr>
          <w:cantSplit/>
          <w:trHeight w:val="204"/>
        </w:trPr>
        <w:tc>
          <w:tcPr>
            <w:tcW w:w="83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8</w:t>
            </w:r>
          </w:p>
        </w:tc>
        <w:tc>
          <w:tcPr>
            <w:tcW w:w="1125"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政府采购</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政府集中采购项目的实施情况</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包括采购项目公告、采购文件、采购项目预算金额、采购结果、采购合同等信息</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采购中心</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http://www.yuanling.gov.cn/yuanling/c109038/zfxxgkMultiList.shtml</w:t>
            </w:r>
          </w:p>
        </w:tc>
      </w:tr>
      <w:tr>
        <w:trPr>
          <w:cantSplit/>
          <w:trHeight w:val="96"/>
        </w:trPr>
        <w:tc>
          <w:tcPr>
            <w:tcW w:w="83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lang w:val="en-US"/>
              </w:rPr>
            </w:pPr>
            <w:r>
              <w:rPr>
                <w:rFonts w:ascii="Times New Roman" w:eastAsia="宋体" w:cs="Times New Roman" w:hAnsi="Times New Roman"/>
                <w:i w:val="0"/>
                <w:iCs w:val="0"/>
                <w:color w:val="000000"/>
                <w:kern w:val="0"/>
                <w:sz w:val="20"/>
                <w:szCs w:val="20"/>
                <w:u w:val="none"/>
                <w:lang w:val="en-US" w:eastAsia="zh-CN"/>
              </w:rPr>
              <w:t>10</w:t>
            </w:r>
          </w:p>
        </w:tc>
        <w:tc>
          <w:tcPr>
            <w:tcW w:w="1125"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应急管理</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突发公共事件的应急预案、预警信息及应对情况</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机关事务领域突发公共事件应急预案，发布的预警信息和事件应对情况</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《中华人民共和国政府信息公开条例》（国务院令第711号）第二十条；《国务院办公厅关于印发&lt;突发事件应急预案管理办法&gt;的通知》（国办发〔2024〕5号）第二十八条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http://www.yuanling.gov.cn/yuanling/c108888/zfxxgkMultiList.shtml</w:t>
            </w:r>
          </w:p>
        </w:tc>
      </w:tr>
      <w:tr>
        <w:trPr>
          <w:cantSplit/>
          <w:trHeight w:val="2160"/>
        </w:trPr>
        <w:tc>
          <w:tcPr>
            <w:tcW w:w="837"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eastAsia="宋体" w:cs="Times New Roman" w:hAnsi="Times New Roman"/>
                <w:i w:val="0"/>
                <w:iCs w:val="0"/>
                <w:color w:val="000000"/>
                <w:sz w:val="20"/>
                <w:szCs w:val="20"/>
                <w:u w:val="none"/>
                <w:lang w:val="en-US"/>
              </w:rPr>
            </w:pPr>
            <w:r>
              <w:rPr>
                <w:rFonts w:ascii="Times New Roman" w:eastAsia="宋体" w:cs="Times New Roman" w:hAnsi="Times New Roman"/>
                <w:i w:val="0"/>
                <w:iCs w:val="0"/>
                <w:color w:val="000000"/>
                <w:kern w:val="0"/>
                <w:sz w:val="20"/>
                <w:szCs w:val="20"/>
                <w:u w:val="none"/>
                <w:lang w:val="en-US" w:eastAsia="zh-CN"/>
              </w:rPr>
              <w:t>12</w:t>
            </w:r>
          </w:p>
        </w:tc>
        <w:tc>
          <w:tcPr>
            <w:tcW w:w="1125"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建议提案</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人大代表建议和政协提案办理</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对涉及公共利益、公众权益、社会关切及需要社会广泛知晓的省人大代表建议、省政协提案及其答复意见经审查可以公开的</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https://www.yuanling.gov.cn/yuanling/c138710/zfxxgkList.shtml</w:t>
            </w:r>
          </w:p>
        </w:tc>
      </w:tr>
      <w:tr>
        <w:trPr>
          <w:cantSplit/>
          <w:trHeight w:val="1715"/>
        </w:trPr>
        <w:tc>
          <w:tcPr>
            <w:tcW w:w="837"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eastAsia="宋体" w:cs="Times New Roman" w:hAnsi="Times New Roman"/>
                <w:i w:val="0"/>
                <w:iCs w:val="0"/>
                <w:color w:val="000000"/>
                <w:sz w:val="20"/>
                <w:szCs w:val="20"/>
                <w:u w:val="none"/>
              </w:rPr>
            </w:pPr>
            <w:r>
              <w:rPr>
                <w:rFonts w:ascii="Times New Roman" w:eastAsia="宋体" w:cs="Times New Roman" w:hAnsi="Times New Roman"/>
                <w:i w:val="0"/>
                <w:iCs w:val="0"/>
                <w:color w:val="000000"/>
                <w:kern w:val="0"/>
                <w:sz w:val="20"/>
                <w:szCs w:val="20"/>
                <w:u w:val="none"/>
                <w:lang w:val="en-US" w:eastAsia="zh-CN"/>
              </w:rPr>
              <w:t>15</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w:t>
            </w: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政府信息公开指南</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政府信息主动公开、依申请公开有关情况，不予公开的内容，政府信息公开工作机构的名称、办公地址、办公时间、联系电话、传真号码、互联网联系方式等</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《中华人民共和国政府信息公开条例》（国务院令第711号）第十二条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5"/>
                <w:rFonts w:ascii="Times New Roman" w:eastAsia="方正仿宋_GBK" w:cs="Times New Roman" w:hAnsi="Times New Roman"/>
                <w:i w:val="0"/>
                <w:iCs w:val="0"/>
                <w:lang w:val="en-US" w:eastAsia="zh-CN"/>
              </w:rPr>
            </w:pPr>
          </w:p>
        </w:tc>
      </w:tr>
      <w:tr>
        <w:trPr>
          <w:cantSplit/>
          <w:trHeight w:val="531"/>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政府信息公开目录</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政府信息主动公开事项目录</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《中华人民共和国政府信息公开条例》（国务院令第711号）第十二条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https://www.yuanling.gov.cn/yuanling/c138687/fulllist.shtml</w:t>
            </w:r>
          </w:p>
        </w:tc>
      </w:tr>
      <w:tr>
        <w:trPr>
          <w:cantSplit/>
          <w:trHeight w:val="525"/>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政府信息公开工作年度报告</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政府信息公开工作年度报告</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《中华人民共和国政府信息公开条例》（国务院令第711号）第四十九条</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每年1月31日前向社会公布</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Style w:val="15"/>
                <w:rFonts w:ascii="Times New Roman" w:eastAsia="方正仿宋_GBK" w:cs="Times New Roman" w:hAnsi="Times New Roman"/>
                <w:i w:val="0"/>
                <w:iCs w:val="0"/>
                <w:lang w:val="en-US" w:eastAsia="zh-CN"/>
              </w:rPr>
            </w:pPr>
          </w:p>
        </w:tc>
      </w:tr>
      <w:tr>
        <w:trPr>
          <w:cantSplit/>
          <w:trHeight w:val="3395"/>
        </w:trPr>
        <w:tc>
          <w:tcPr>
            <w:tcW w:w="837" w:type="dxa"/>
            <w:vMerge/>
            <w:tcBorders>
              <w:top w:val="single" w:sz="4" w:space="0" w:color="000000"/>
              <w:left w:val="single" w:sz="4" w:space="0" w:color="000000"/>
              <w:bottom w:val="single" w:sz="4" w:space="0" w:color="000000"/>
              <w:right w:val="single" w:sz="4" w:space="0" w:color="000000"/>
            </w:tcBorders>
            <w:vAlign w:val="center"/>
          </w:tcPr>
          <w:p/>
        </w:tc>
        <w:tc>
          <w:tcPr>
            <w:tcW w:w="1125" w:type="dxa"/>
            <w:vMerge/>
            <w:tcBorders>
              <w:top w:val="single" w:sz="4" w:space="0" w:color="000000"/>
              <w:left w:val="single" w:sz="4" w:space="0" w:color="000000"/>
              <w:bottom w:val="single" w:sz="4" w:space="0" w:color="000000"/>
              <w:right w:val="single" w:sz="4" w:space="0" w:color="000000"/>
            </w:tcBorders>
            <w:vAlign w:val="center"/>
          </w:tcPr>
          <w:p/>
        </w:tc>
        <w:tc>
          <w:tcPr>
            <w:tcW w:w="12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政府信息公开工作制度</w:t>
            </w:r>
          </w:p>
        </w:tc>
        <w:tc>
          <w:tcPr>
            <w:tcW w:w="1889"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《国务院办公厅政府信息与政务公开办公室关于规范政府信息公开平台有关事项的通知》（国办公开办函〔2019〕61号）第二部分</w:t>
            </w:r>
          </w:p>
        </w:tc>
        <w:tc>
          <w:tcPr>
            <w:tcW w:w="1063"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政府网站</w:t>
            </w:r>
          </w:p>
        </w:tc>
        <w:tc>
          <w:tcPr>
            <w:tcW w:w="194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自该政府信息形成或者变更之日起20个工作日内</w:t>
            </w:r>
          </w:p>
        </w:tc>
        <w:tc>
          <w:tcPr>
            <w:tcW w:w="1168"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5"/>
                <w:rFonts w:ascii="Times New Roman" w:eastAsia="方正仿宋_GBK" w:cs="Times New Roman" w:hAnsi="Times New Roman"/>
                <w:i w:val="0"/>
                <w:iCs w:val="0"/>
                <w:lang w:val="en-US" w:eastAsia="zh-CN"/>
              </w:rPr>
            </w:pPr>
            <w:r>
              <w:rPr>
                <w:rStyle w:val="15"/>
                <w:rFonts w:ascii="Times New Roman" w:eastAsia="方正仿宋_GBK" w:cs="Times New Roman" w:hAnsi="Times New Roman"/>
                <w:i w:val="0"/>
                <w:iCs w:val="0"/>
                <w:lang w:val="en-US" w:eastAsia="zh-CN"/>
              </w:rPr>
              <w:t>办公室</w:t>
            </w:r>
            <w:bookmarkStart w:id="0" w:name="_GoBack"/>
            <w:bookmarkEnd w:id="0"/>
          </w:p>
        </w:tc>
        <w:tc>
          <w:tcPr>
            <w:tcW w:w="1420" w:type="dxa"/>
            <w:tcBorders>
              <w:top w:val="single" w:sz="4" w:space="0" w:color="000000"/>
              <w:left w:val="single" w:sz="4" w:space="0" w:color="000000"/>
              <w:bottom w:val="single" w:sz="4" w:space="0" w:color="000000"/>
              <w:right w:val="single" w:sz="4" w:space="0" w:color="00000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rPr>
                <w:rStyle w:val="15"/>
                <w:rFonts w:ascii="Times New Roman" w:eastAsia="方正仿宋_GBK" w:cs="Times New Roman" w:hAnsi="Times New Roman"/>
                <w:i w:val="0"/>
                <w:iCs w:val="0"/>
                <w:lang w:val="en-US" w:eastAsia="zh-CN"/>
              </w:rPr>
            </w:pPr>
            <w:r>
              <w:rPr>
                <w:rFonts w:ascii="Times New Roman" w:eastAsia="方正仿宋_GBK" w:cs="Times New Roman" w:hAnsi="Times New Roman"/>
                <w:i w:val="0"/>
                <w:iCs w:val="0"/>
                <w:color w:val="auto"/>
                <w:sz w:val="20"/>
                <w:szCs w:val="20"/>
                <w:u w:val="none"/>
              </w:rPr>
              <w:t>http://www.yuanling.gov.cn/yuanling/c119577/zfxxgkList.shtml</w:t>
            </w:r>
          </w:p>
        </w:tc>
      </w:tr>
    </w:tbl>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微软雅黑"/>
    <w:panose1 w:val="02000000000000000000"/>
    <w:charset w:val="86"/>
    <w:family w:val="script"/>
    <w:pitch w:val="variable"/>
    <w:sig w:usb0="00000000" w:usb1="0000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楷体">
    <w:altName w:val="方正楷体_GBK"/>
    <w:panose1 w:val="02010609060101010101"/>
    <w:charset w:val="86"/>
    <w:family w:val="auto"/>
    <w:pitch w:val="variable"/>
    <w:sig w:usb0="800002BF" w:usb1="38CF7CFA" w:usb2="00000016" w:usb3="00000000" w:csb0="00040001" w:csb1="00000000"/>
  </w:font>
  <w:font w:name="方正仿宋_GBK">
    <w:altName w:val="微软雅黑"/>
    <w:panose1 w:val="02000000000000000000"/>
    <w:charset w:val="86"/>
    <w:family w:val="auto"/>
    <w:pitch w:val="variable"/>
    <w:sig w:usb0="00000000" w:usb1="0000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黑体_GBK"/>
    <w:panose1 w:val="02010600030101010101"/>
    <w:charset w:val="86"/>
    <w:family w:val="auto"/>
    <w:pitch w:val="variable"/>
    <w:sig w:usb0="000000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仿宋_GB2312">
    <w:altName w:val="方正仿宋_GBK"/>
    <w:panose1 w:val="02010609030101010101"/>
    <w:charset w:val="86"/>
    <w:family w:val="modern"/>
    <w:pitch w:val="variable"/>
    <w:sig w:usb0="00000001" w:usb1="080E0000" w:usb2="00000000" w:usb3="00000000" w:csb0="00040000" w:csb1="00000000"/>
  </w:font>
  <w:font w:name="方正兰亭黑_GBK">
    <w:panose1 w:val="02000000000000000000"/>
    <w:charset w:val="86"/>
    <w:family w:val="script"/>
    <w:pitch w:val="variable"/>
    <w:sig w:usb0="A00002BF" w:usb1="3ACF7CFA" w:usb2="0008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7"/>
  <w:doNotDisplayPageBoundaries/>
  <w:bordersDoNotSurroundHeader/>
  <w:bordersDoNotSurroundFooter/>
  <w:defaultTabStop w:val="420"/>
  <w:drawingGridHorizontalSpacing w:val="154"/>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5"/>
    <w:pPr>
      <w:widowControl w:val="0"/>
      <w:spacing w:line="240" w:lineRule="atLeast"/>
      <w:jc w:val="both"/>
    </w:pPr>
    <w:rPr>
      <w:rFonts w:ascii="Times New Roman" w:eastAsia="仿宋_GB2312" w:cs="Times New Roman" w:hAnsi="Times New Roman"/>
      <w:spacing w:val="-6"/>
      <w:kern w:val="2"/>
      <w:sz w:val="32"/>
      <w:szCs w:val="20"/>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仿宋_GB2312" w:cs="Times New Roman" w:hAnsi="Times New Roman"/>
      <w:b/>
      <w:bCs/>
      <w:spacing w:val="-6"/>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Times New Roman" w:hAnsi="Times New Roman"/>
      <w:b/>
      <w:bCs/>
      <w:spacing w:val="-6"/>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Times New Roman"/>
      <w:b/>
      <w:bCs/>
      <w:spacing w:val="-6"/>
      <w:kern w:val="2"/>
      <w:sz w:val="32"/>
      <w:szCs w:val="32"/>
      <w:lang w:val="en-US" w:eastAsia="zh-CN" w:bidi="ar-SA"/>
    </w:rPr>
  </w:style>
  <w:style w:type="paragraph" w:styleId="5">
    <w:name w:val="heading 5"/>
    <w:qFormat/>
    <w:basedOn w:val="0"/>
    <w:next w:val="0"/>
    <w:link w:val="5Char"/>
    <w:pPr>
      <w:keepNext/>
      <w:keepLines/>
      <w:spacing w:before="280" w:after="290" w:line="374" w:lineRule="auto"/>
      <w:outlineLvl w:val="4"/>
    </w:pPr>
    <w:rPr>
      <w:b/>
      <w:bCs/>
      <w:sz w:val="28"/>
      <w:szCs w:val="28"/>
    </w:rPr>
  </w:style>
  <w:style w:type="character" w:customStyle="1" w:styleId="5Char">
    <w:name w:val="heading 5 Char"/>
    <w:basedOn w:val="10"/>
    <w:link w:val="5"/>
    <w:rPr>
      <w:rFonts w:ascii="Times New Roman" w:eastAsia="仿宋_GB2312" w:cs="Times New Roman" w:hAnsi="Times New Roman"/>
      <w:b/>
      <w:bCs/>
      <w:spacing w:val="-6"/>
      <w:kern w:val="2"/>
      <w:sz w:val="28"/>
      <w:szCs w:val="28"/>
      <w:lang w:val="en-US" w:eastAsia="zh-CN" w:bidi="ar-SA"/>
    </w:rPr>
  </w:style>
  <w:style w:type="character" w:default="1" w:styleId="10">
    <w:name w:val="Default Paragraph Font"/>
    <w:qFormat/>
  </w:style>
  <w:style w:type="character" w:customStyle="1" w:yozoId="4094" w:styleId="15">
    <w:name w:val="font61"/>
    <w:qFormat/>
    <w:basedOn w:val="10"/>
    <w:rPr>
      <w:rFonts w:ascii="Times New Roman" w:cs="Times New Roman" w:hAnsi="Times New Roman"/>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9E6297B-0C6C-4D86-A193-29140159C0C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WPS_Yozo_Office9.0.6115.191ZH</Application>
  <Pages>5</Pages>
  <Words>0</Words>
  <Characters>2070</Characters>
  <Lines>0</Lines>
  <Paragraphs>4</Paragraphs>
  <CharactersWithSpaces>2761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I</dc:creator>
  <cp:lastModifiedBy>xlc251120d05</cp:lastModifiedBy>
  <cp:revision>1</cp:revision>
  <dcterms:created xsi:type="dcterms:W3CDTF">2025-12-25T12:54:00Z</dcterms:created>
  <dcterms:modified xsi:type="dcterms:W3CDTF">2025-12-26T09:26:01Z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2052-11.1.0.9021</vt:lpwstr>
  </property>
</Properties>
</file>