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沅陵县水利局</w:t>
      </w:r>
      <w:r>
        <w:rPr>
          <w:rFonts w:hint="default" w:ascii="Times New Roman" w:hAnsi="Times New Roman" w:eastAsia="方正小标宋_GBK" w:cs="Times New Roman"/>
          <w:b w:val="0"/>
          <w:bCs w:val="0"/>
          <w:sz w:val="36"/>
          <w:szCs w:val="36"/>
          <w:lang w:val="en-US" w:eastAsia="zh-CN"/>
        </w:rPr>
        <w:t>政府信息主动公开事项目录</w:t>
      </w:r>
    </w:p>
    <w:p>
      <w:pPr>
        <w:spacing w:line="360" w:lineRule="exact"/>
        <w:jc w:val="center"/>
        <w:rPr>
          <w:rFonts w:hint="default" w:ascii="Times New Roman" w:hAnsi="Times New Roman" w:cs="Times New Roman"/>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沅陵县</w:t>
      </w:r>
      <w:r>
        <w:rPr>
          <w:rFonts w:hint="default" w:ascii="Times New Roman" w:hAnsi="Times New Roman" w:eastAsia="楷体" w:cs="Times New Roman"/>
          <w:b/>
          <w:bCs/>
          <w:kern w:val="2"/>
          <w:sz w:val="28"/>
          <w:szCs w:val="28"/>
          <w:lang w:val="en-US" w:eastAsia="zh-CN" w:bidi="ar-SA"/>
        </w:rPr>
        <w:t>水利</w:t>
      </w:r>
      <w:r>
        <w:rPr>
          <w:rFonts w:hint="eastAsia" w:eastAsia="楷体" w:cs="Times New Roman"/>
          <w:b/>
          <w:bCs/>
          <w:kern w:val="2"/>
          <w:sz w:val="28"/>
          <w:szCs w:val="28"/>
          <w:lang w:val="en-US" w:eastAsia="zh-CN" w:bidi="ar-SA"/>
        </w:rPr>
        <w:t>局</w:t>
      </w:r>
    </w:p>
    <w:tbl>
      <w:tblPr>
        <w:tblStyle w:val="3"/>
        <w:tblW w:w="1397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035"/>
        <w:gridCol w:w="1310"/>
        <w:gridCol w:w="1724"/>
        <w:gridCol w:w="2897"/>
        <w:gridCol w:w="1121"/>
        <w:gridCol w:w="2017"/>
        <w:gridCol w:w="1379"/>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blHeader/>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bookmarkStart w:id="0" w:name="_GoBack" w:colFirst="8" w:colLast="8"/>
            <w:r>
              <w:rPr>
                <w:rFonts w:hint="default" w:ascii="Times New Roman" w:hAnsi="Times New Roman" w:eastAsia="黑体" w:cs="Times New Roman"/>
                <w:i w:val="0"/>
                <w:iCs w:val="0"/>
                <w:color w:val="000000"/>
                <w:kern w:val="0"/>
                <w:sz w:val="21"/>
                <w:szCs w:val="21"/>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Fonts w:hint="default" w:ascii="Times New Roman" w:hAnsi="Times New Roman" w:eastAsia="黑体" w:cs="Times New Roman"/>
                <w:i w:val="0"/>
                <w:iCs w:val="0"/>
                <w:color w:val="auto"/>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02"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snapToGrid w:val="0"/>
                <w:color w:val="auto"/>
                <w:kern w:val="21"/>
                <w:sz w:val="20"/>
                <w:szCs w:val="20"/>
                <w:lang w:val="en-US" w:eastAsia="zh-CN"/>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2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https://www.yuanling.gov.cn/yuanling/c118899/list2020.shtml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20"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https://www.yuanling.gov.cn/yuanling/c118898/bmxz_jgzn.shtml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15"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https://www.yuanling.gov.cn/yuanling/c118898/bmxz_jgzn.shtml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7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水利领域规划计划</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涉及水利业务职能的中长期计划、年度工作计划信息、计划执行情况</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规划建设股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https://www.yuanling.gov.cn/yuanling/c118902/list2020.shtml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水利领域政务服务事项信息</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水利领域办理行政许可和其他对外管理服务事项目录，行使事项的依据、条件、程序以及办理结果</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政策法规和行政审批股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http://zwfw-new.hunan.gov.cn/onething/service/index.jsp?type=xndtgr&amp;main=1&amp;areacode=431222999000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3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水利领域行政处罚信息</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水利领域实施行政处罚的依据、条件、程序以及本行政机关认为具有一定社会影响的行政处罚决定</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政策法规和行政审批股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"https://www.yuanling.gov.cn/yuanling/c119574/zfxxgkIframeMultiList.shtml"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https://www.yuanling.gov.cn/yuanling/c119574/zfxxgkIframeMultiList.shtml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15"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部门预算、决算及报表</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《中华人民共和国预算法》第十四条；《中华人民共和国预算法实施条例》第六条；《中华人民共和国政府信息公开条例》（国务院令第711号）第二十条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财务室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"http://www.yuanling.gov.cn/yuanling/c108873/zfxxgkMultiList.shtml"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6"/>
                <w:rFonts w:hint="default" w:ascii="Times New Roman" w:hAnsi="Times New Roman" w:eastAsia="方正仿宋_GBK" w:cs="Times New Roman"/>
                <w:i w:val="0"/>
                <w:iCs w:val="0"/>
                <w:color w:val="auto"/>
                <w:sz w:val="20"/>
                <w:szCs w:val="20"/>
                <w:u w:val="none"/>
              </w:rPr>
              <w:t>http://www.yuanling.gov.cn/yuanling/c108873/zfxxgkMultiList.shtml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5"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财务室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"http://www.yuanling.gov.cn/yuanling/c108873/zfxxgkMultiList.shtml"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http://www.yuanling.gov.cn/yuanling/c108873/zfxxgkMultiList.shtml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"http://www.yuanling.gov.cn/yuanling/c108873/zfxxgkMultiList.shtml"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http://www.yuanling.gov.cn/yuanling/c108873/zfxxgkMultiList.shtml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val="en-US" w:eastAsia="zh-CN"/>
              </w:rPr>
              <w:t>政策法规和行政审批股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https://www.yuanling.gov.cn/yuanling/c131815/list2020.shtml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331"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规划建设股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http://www.yuanling.gov.cn/yuanling/c109038/zfxxgkMultiList.shtml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水利领域重大建设项目的批准和实施情况</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水利领域重大建设项目名称、批准服务信息、批准结果信息、重大设计变更信息、施工有关信息、质量安全监督信息、竣工有关信息</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水利建设项目事务中心</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https://www.yuanling.gov.cn/yuanling/c138709/zfxxgkList.shtml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9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水利领域突发公共事件应急预案，发布的预警信息和事件应对情况</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水旱灾害防御事务中心；水利工程质量与运行安全监管股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"http://www.yuanling.gov.cn/yuanling/c108888/zfxxgkMultiList.shtml" </w:instrText>
            </w:r>
            <w:r>
              <w:rPr>
                <w:rFonts w:hint="default" w:ascii="Times New Roman" w:hAnsi="Times New Roman" w:eastAsia="方正仿宋_GBK" w:cs="Times New Roman"/>
                <w:i w:val="0"/>
                <w:iCs w:val="0"/>
                <w:color w:val="auto"/>
                <w:sz w:val="20"/>
                <w:szCs w:val="20"/>
                <w:u w:val="none"/>
              </w:rPr>
              <w:fldChar w:fldCharType="separate"/>
            </w:r>
            <w:r>
              <w:rPr>
                <w:rStyle w:val="6"/>
                <w:rFonts w:hint="default" w:ascii="Times New Roman" w:hAnsi="Times New Roman" w:eastAsia="方正仿宋_GBK" w:cs="Times New Roman"/>
                <w:i w:val="0"/>
                <w:iCs w:val="0"/>
                <w:color w:val="auto"/>
                <w:sz w:val="20"/>
                <w:szCs w:val="20"/>
                <w:u w:val="none"/>
              </w:rPr>
              <w:t>http://www.yuanling.gov.cn/yuanling/c108888/zfxxgkMultiList.shtml</w:t>
            </w:r>
            <w:r>
              <w:rPr>
                <w:rFonts w:hint="default" w:ascii="Times New Roman" w:hAnsi="Times New Roman" w:eastAsia="方正仿宋_GBK" w:cs="Times New Roman"/>
                <w:i w:val="0"/>
                <w:iCs w:val="0"/>
                <w:color w:val="auto"/>
                <w:sz w:val="20"/>
                <w:szCs w:val="20"/>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https://www.yuanling.gov.cn/yuanling/c138710/zfxxgkList.shtml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526"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val="en-US" w:eastAsia="zh-CN"/>
              </w:rPr>
              <w:t>政策法规和行政审批股</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https://www.yuanling.gov.cn/yuanling/c118899/list2020.shtml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河湖管理</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河长职责、河湖概况、管护目标、监督电话等内容</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国务院办公厅印发关于全面推行河长制的意见》</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河湖事务中心</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https://www.yuanling.gov.cn/yuanling/c118899/list2020.shtml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726" w:hRule="atLeast"/>
        </w:trPr>
        <w:tc>
          <w:tcPr>
            <w:tcW w:w="6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w:t>
            </w:r>
            <w:r>
              <w:rPr>
                <w:rFonts w:hint="eastAsia" w:eastAsia="等线" w:cs="Times New Roman"/>
                <w:i w:val="0"/>
                <w:iCs w:val="0"/>
                <w:color w:val="000000"/>
                <w:kern w:val="0"/>
                <w:sz w:val="20"/>
                <w:szCs w:val="20"/>
                <w:u w:val="none"/>
                <w:lang w:val="en-US" w:eastAsia="zh-CN" w:bidi="ar"/>
              </w:rPr>
              <w:t>4</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https://www.yuanling.gov.cn/yuanling/c118903/singleArticle2020.shtml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1"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75"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https://www.yuanling.gov.cn/yuanling/c118904/list2020.shtml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188" w:hRule="atLeast"/>
        </w:trPr>
        <w:tc>
          <w:tcPr>
            <w:tcW w:w="6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2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1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fldChar w:fldCharType="begin"/>
            </w:r>
            <w:r>
              <w:rPr>
                <w:rFonts w:hint="default" w:ascii="Times New Roman" w:hAnsi="Times New Roman" w:eastAsia="方正仿宋_GBK" w:cs="Times New Roman"/>
                <w:i w:val="0"/>
                <w:iCs w:val="0"/>
                <w:color w:val="auto"/>
                <w:sz w:val="20"/>
                <w:szCs w:val="20"/>
                <w:u w:val="none"/>
              </w:rPr>
              <w:instrText xml:space="preserve"> HYPERLINK "http://www.yuanling.gov.cn/yuanling/c119577/zfxxgkList.shtml" </w:instrText>
            </w:r>
            <w:r>
              <w:rPr>
                <w:rFonts w:hint="default" w:ascii="Times New Roman" w:hAnsi="Times New Roman" w:eastAsia="方正仿宋_GBK" w:cs="Times New Roman"/>
                <w:i w:val="0"/>
                <w:iCs w:val="0"/>
                <w:color w:val="auto"/>
                <w:sz w:val="20"/>
                <w:szCs w:val="20"/>
                <w:u w:val="none"/>
              </w:rPr>
              <w:fldChar w:fldCharType="separate"/>
            </w:r>
            <w:r>
              <w:rPr>
                <w:rStyle w:val="5"/>
                <w:rFonts w:hint="default" w:ascii="Times New Roman" w:hAnsi="Times New Roman" w:eastAsia="方正仿宋_GBK" w:cs="Times New Roman"/>
                <w:i w:val="0"/>
                <w:iCs w:val="0"/>
                <w:color w:val="auto"/>
                <w:sz w:val="20"/>
                <w:szCs w:val="20"/>
                <w:u w:val="none"/>
              </w:rPr>
              <w:t>http://www.yuanling.gov.cn/yuanling/c119577/zfxxgkList.shtml</w:t>
            </w:r>
            <w:r>
              <w:rPr>
                <w:rFonts w:hint="default" w:ascii="Times New Roman" w:hAnsi="Times New Roman" w:eastAsia="方正仿宋_GBK" w:cs="Times New Roman"/>
                <w:i w:val="0"/>
                <w:iCs w:val="0"/>
                <w:color w:val="auto"/>
                <w:sz w:val="20"/>
                <w:szCs w:val="20"/>
                <w:u w:val="none"/>
              </w:rPr>
              <w:fldChar w:fldCharType="end"/>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E2BA8"/>
    <w:rsid w:val="24F07F0B"/>
    <w:rsid w:val="3C627ED5"/>
    <w:rsid w:val="49A46CE4"/>
    <w:rsid w:val="62EE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3240</Words>
  <Characters>4515</Characters>
  <Lines>0</Lines>
  <Paragraphs>0</Paragraphs>
  <TotalTime>4</TotalTime>
  <ScaleCrop>false</ScaleCrop>
  <LinksUpToDate>false</LinksUpToDate>
  <CharactersWithSpaces>4518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2025-12-24T10:54:00Z</dcterms:created>
  <dc:creator>I</dc:creator>
  <cp:lastModifiedBy>I</cp:lastModifiedBy>
  <dcterms:modified xsi:type="dcterms:W3CDTF">2025-12-26T11:28:45Z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eyJoZGlkIjoiOTE2MjM5YmQ2NTExOTI2MzQyMjFmOWFmOWEwODg5MzkiLCJ1c2VySWQiOiI0MzQ2NzkyNjgifQ==</vt:lpwstr>
  </property>
  <property fmtid="{D5CDD505-2E9C-101B-9397-08002B2CF9AE}" pid="4" name="ICV">
    <vt:lpwstr>F7DF99D37C65497E8EA7FDCFD43A3DBC_12</vt:lpwstr>
  </property>
</Properties>
</file>