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沅陵县</w:t>
      </w:r>
      <w:r>
        <w:rPr>
          <w:rFonts w:hint="default" w:ascii="Times New Roman" w:hAnsi="Times New Roman" w:eastAsia="方正小标宋_GBK" w:cs="Times New Roman"/>
          <w:b w:val="0"/>
          <w:bCs w:val="0"/>
          <w:sz w:val="36"/>
          <w:szCs w:val="36"/>
          <w:lang w:val="en-US" w:eastAsia="zh-CN"/>
        </w:rPr>
        <w:t>司法</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cs="Times New Roman"/>
          <w:lang w:val="en-US" w:eastAsia="zh-C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沅陵县</w:t>
      </w:r>
      <w:r>
        <w:rPr>
          <w:rFonts w:hint="default" w:ascii="Times New Roman" w:hAnsi="Times New Roman" w:eastAsia="楷体" w:cs="Times New Roman"/>
          <w:b/>
          <w:bCs/>
          <w:kern w:val="2"/>
          <w:sz w:val="28"/>
          <w:szCs w:val="28"/>
          <w:lang w:val="en-US" w:eastAsia="zh-CN" w:bidi="ar-SA"/>
        </w:rPr>
        <w:t>司法</w:t>
      </w:r>
      <w:r>
        <w:rPr>
          <w:rFonts w:hint="eastAsia" w:eastAsia="楷体" w:cs="Times New Roman"/>
          <w:b/>
          <w:bCs/>
          <w:kern w:val="2"/>
          <w:sz w:val="28"/>
          <w:szCs w:val="28"/>
          <w:lang w:val="en-US" w:eastAsia="zh-CN" w:bidi="ar-SA"/>
        </w:rPr>
        <w:t>局</w:t>
      </w:r>
    </w:p>
    <w:tbl>
      <w:tblPr>
        <w:tblStyle w:val="3"/>
        <w:tblW w:w="14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159"/>
        <w:gridCol w:w="1557"/>
        <w:gridCol w:w="1789"/>
        <w:gridCol w:w="2985"/>
        <w:gridCol w:w="1121"/>
        <w:gridCol w:w="2000"/>
        <w:gridCol w:w="1158"/>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blHeader/>
        </w:trPr>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6" w:hRule="atLeast"/>
        </w:trPr>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1</w:t>
            </w:r>
          </w:p>
        </w:tc>
        <w:tc>
          <w:tcPr>
            <w:tcW w:w="11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政策文件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行政规范性文件</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司法行政规范性文件</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规范性文件管理与法律事物服务股</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35"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其他政策文件</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除行政规范性文件以外的其他可以公开的文件</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规范性文件管理与法律事物服务股</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http://www.yuanling.gov.cn/yuanling/c108912/list2020.shtml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5" w:hRule="atLeast"/>
        </w:trPr>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2</w:t>
            </w:r>
          </w:p>
        </w:tc>
        <w:tc>
          <w:tcPr>
            <w:tcW w:w="11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机构概况</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领导信息</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单位负责人姓名、职务、主管或分管工作等</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政工室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http://www.yuanling.gov.cn/yuanling/c108911/bmxz_jgzn.shtml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30"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机构信息</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政工室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eastAsia" w:ascii="Times New Roman" w:hAnsi="Times New Roman" w:eastAsia="方正仿宋_GBK" w:cs="Times New Roman"/>
                <w:i w:val="0"/>
                <w:iCs w:val="0"/>
                <w:color w:val="auto"/>
                <w:lang w:val="en-US" w:eastAsia="zh-CN" w:bidi="ar"/>
              </w:rPr>
              <w:t>http://www.yuanling.gov.cn/yuanling/c108911/bmxz_jgzn.shtml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3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规划计划</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司法域规划计划</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涉及司法业务职能的中长期计划、年度工作计划信息、计划执行情况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办公室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http://www.yuanling.gov.cn/yuanling/c108915/list2020.shtml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0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政务服务</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司法领域政务服务事项信息</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司法领域办理行政许可和其他对外管理服务事项目录，行使事项的依据、条件、程序以及办理结果</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行政执法协调监督股</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http://zwfw-new.hunan.gov.cn/onething/service/index.jsp?type=xndtgr&amp;main=1&amp;areacode=431222999000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70" w:hRule="atLeast"/>
        </w:trPr>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5</w:t>
            </w:r>
          </w:p>
        </w:tc>
        <w:tc>
          <w:tcPr>
            <w:tcW w:w="11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财政预算、决算</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预算、决算</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部门预算、决算及执行情况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批准（批复）后20日内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装备财务保障股</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61"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“三公”经费</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批准（批复）后20日内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装备财务保障股</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6"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 xml:space="preserve">绩效评价 </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 xml:space="preserve">按要求将项目支出绩效评价结果编入预算并公开      </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装备财务保障股</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32"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应急管理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突发公共事件的应急预案、预警信息及应对情况</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司法领域突发公共事件应急预案，发布的预警信息和事件应对情况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办公室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http://www.yuanling.gov.cn/yuanling/c108888/zfxxgkMultiList.shtml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770"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法治政府建设年度报告</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法治政府建设年度报告</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每年4月1日之前</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依法治县办秘书室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http://www.yuanling.gov.cn/yuanling/c108912/list2020.shtml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60"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业务事项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法律援助</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法律援助资金使用、案件办理、质量考核结果等情况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《中华人民共和国法律援助法》</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法律援助</w:t>
            </w:r>
            <w:r>
              <w:rPr>
                <w:rStyle w:val="5"/>
                <w:rFonts w:hint="eastAsia" w:eastAsia="方正仿宋_GBK" w:cs="Times New Roman"/>
                <w:i w:val="0"/>
                <w:iCs w:val="0"/>
                <w:lang w:val="en-US" w:eastAsia="zh-CN" w:bidi="ar"/>
              </w:rPr>
              <w:t>中心</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http://www.yuanling.gov.cn/yuanling/c137506/data_list.shtml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96" w:hRule="atLeast"/>
        </w:trPr>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9</w:t>
            </w:r>
          </w:p>
        </w:tc>
        <w:tc>
          <w:tcPr>
            <w:tcW w:w="11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政府信息公开指南</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办公室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http://www.yuanling.gov.cn/yuanling/c108916/singleArticle2020.shtml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16"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政府信息公开目录</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政府信息主动公开事项目录</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办公室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5"/>
                <w:rFonts w:hint="default" w:ascii="Times New Roman" w:hAnsi="Times New Roman" w:eastAsia="方正仿宋_GBK" w:cs="Times New Roman"/>
                <w:i w:val="0"/>
                <w:iCs w:val="0"/>
                <w:color w:val="auto"/>
                <w:lang w:val="en-US" w:eastAsia="zh-CN" w:bidi="ar"/>
              </w:rPr>
            </w:pPr>
            <w:r>
              <w:rPr>
                <w:rFonts w:hint="default" w:ascii="Times New Roman" w:hAnsi="Times New Roman" w:eastAsia="方正仿宋_GBK" w:cs="Times New Roman"/>
                <w:i w:val="0"/>
                <w:iCs w:val="0"/>
                <w:color w:val="auto"/>
                <w:sz w:val="20"/>
                <w:szCs w:val="20"/>
                <w:u w:val="none"/>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政府信息公开工作年度报告</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政府信息公开工作年度报告</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每年1月31日前向社会公布</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办公室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http://www.yuanling.gov.cn/yuanling/c108917/list2020.shtml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50"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政府信息公开工作制度</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eastAsia="方正仿宋_GBK" w:cs="Times New Roman"/>
                <w:i w:val="0"/>
                <w:iCs w:val="0"/>
                <w:lang w:val="en-US" w:eastAsia="zh-CN" w:bidi="ar"/>
              </w:rPr>
              <w:t>办公室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color w:val="auto"/>
                <w:lang w:val="en-US" w:eastAsia="zh-CN" w:bidi="ar"/>
              </w:rPr>
            </w:pPr>
            <w:r>
              <w:rPr>
                <w:rStyle w:val="5"/>
                <w:rFonts w:hint="default" w:ascii="Times New Roman" w:hAnsi="Times New Roman" w:eastAsia="方正仿宋_GBK" w:cs="Times New Roman"/>
                <w:i w:val="0"/>
                <w:iCs w:val="0"/>
                <w:color w:val="auto"/>
                <w:lang w:val="en-US" w:eastAsia="zh-CN" w:bidi="ar"/>
              </w:rPr>
              <w:t>http://www.yuanling.gov.cn/yuanling/c119577/zfxxgkList.shtml</w:t>
            </w:r>
          </w:p>
        </w:tc>
      </w:tr>
    </w:tbl>
    <w:p>
      <w:pPr>
        <w:jc w:val="center"/>
        <w:rPr>
          <w:rFonts w:hint="default" w:ascii="Times New Roman" w:hAnsi="Times New Roman" w:eastAsia="方正小标宋_GBK" w:cs="Times New Roman"/>
          <w:i w:val="0"/>
          <w:iCs w:val="0"/>
          <w:color w:val="000000"/>
          <w:kern w:val="0"/>
          <w:sz w:val="36"/>
          <w:szCs w:val="36"/>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00A25"/>
    <w:rsid w:val="1103563C"/>
    <w:rsid w:val="16BD559D"/>
    <w:rsid w:val="19201045"/>
    <w:rsid w:val="3DC00A25"/>
    <w:rsid w:val="4C2442A0"/>
    <w:rsid w:val="6BE42C1F"/>
    <w:rsid w:val="7470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2915</Words>
  <Characters>4130</Characters>
  <Lines>0</Lines>
  <Paragraphs>0</Paragraphs>
  <TotalTime>1</TotalTime>
  <ScaleCrop>false</ScaleCrop>
  <LinksUpToDate>false</LinksUpToDate>
  <CharactersWithSpaces>4140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2025-12-23T09:17:00Z</dcterms:created>
  <dc:creator>AA我最纯良</dc:creator>
  <cp:lastModifiedBy>I</cp:lastModifiedBy>
  <dcterms:modified xsi:type="dcterms:W3CDTF">2025-12-26T11:37:14Z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F8FDC73D42494AFEBD2C00FC9D3FD1E5_11</vt:lpwstr>
  </property>
  <property fmtid="{D5CDD505-2E9C-101B-9397-08002B2CF9AE}" pid="4" name="KSOTemplateDocerSaveRecord">
    <vt:lpwstr>eyJoZGlkIjoiOTk5YjI2OWU4YzlmZGQ2ZjJhNDhmNjAzNGU2YzA4ZWUiLCJ1c2VySWQiOiIyNjA0MTk3MjUifQ==</vt:lpwstr>
  </property>
</Properties>
</file>