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附件2</w:t>
      </w:r>
    </w:p>
    <w:p>
      <w:pPr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无证经营</w:t>
      </w:r>
      <w:r>
        <w:rPr>
          <w:rFonts w:ascii="黑体" w:eastAsia="黑体"/>
          <w:sz w:val="32"/>
          <w:szCs w:val="30"/>
        </w:rPr>
        <w:t>涉企专项检查计划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224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对无烟草专卖零售许可证从事烟草制品零售业务的检查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2.是否存在使用非法转让的烟草专卖零售许可证的行为。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2026年4月15日-2026年10月15日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2025年10月1日至2026 年4月1日（近半年）内有违法记录及接投诉、举报处理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  <w:shd w:val="clear" w:color="auto" w:fill="auto"/>
              </w:rPr>
              <w:t>的无证经营主体</w:t>
            </w:r>
            <w:r>
              <w:rPr>
                <w:rFonts w:ascii="CESI仿宋-GB2312" w:eastAsia="CESI仿宋-GB2312"/>
                <w:shd w:val="clear" w:color="auto" w:fill="auto"/>
              </w:rPr>
              <w:t>。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现场检查与非现场检查相结合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  <w:r>
              <w:rPr>
                <w:rFonts w:ascii="CESI仿宋-GB2312" w:eastAsia="CESI仿宋-GB2312"/>
                <w:shd w:val="clear" w:color="auto" w:fill="auto"/>
              </w:rPr>
              <w:t>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195</TotalTime>
  <Application>Yozo_Office27021597764231179</Application>
  <Pages>1</Pages>
  <Words>219</Words>
  <Characters>238</Characters>
  <Lines>37</Lines>
  <Paragraphs>19</Paragraphs>
  <CharactersWithSpaces>239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7</cp:revision>
  <cp:lastPrinted>2026-05-28T07:46:43Z</cp:lastPrinted>
  <dcterms:created xsi:type="dcterms:W3CDTF">2026-03-09T23:08:00Z</dcterms:created>
  <dcterms:modified xsi:type="dcterms:W3CDTF">2026-05-28T07:47:59Z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