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i w:val="0"/>
          <w:caps w:val="0"/>
          <w:color w:val="333333"/>
          <w:spacing w:val="0"/>
          <w:sz w:val="45"/>
          <w:szCs w:val="45"/>
          <w:bdr w:val="none" w:color="auto" w:sz="0" w:space="0"/>
        </w:rPr>
      </w:pPr>
      <w:r>
        <w:rPr>
          <w:rFonts w:hint="eastAsia"/>
          <w:b/>
          <w:i w:val="0"/>
          <w:caps w:val="0"/>
          <w:color w:val="333333"/>
          <w:spacing w:val="0"/>
          <w:sz w:val="45"/>
          <w:szCs w:val="45"/>
          <w:bdr w:val="none" w:color="auto" w:sz="0" w:space="0"/>
          <w:lang w:eastAsia="zh-CN"/>
        </w:rPr>
        <w:t>沅陵县</w:t>
      </w:r>
      <w:r>
        <w:rPr>
          <w:b/>
          <w:i w:val="0"/>
          <w:caps w:val="0"/>
          <w:color w:val="333333"/>
          <w:spacing w:val="0"/>
          <w:sz w:val="45"/>
          <w:szCs w:val="45"/>
          <w:bdr w:val="none" w:color="auto" w:sz="0" w:space="0"/>
        </w:rPr>
        <w:t>交通运输局重大执法决定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i w:val="0"/>
          <w:caps w:val="0"/>
          <w:color w:val="333333"/>
          <w:spacing w:val="0"/>
          <w:sz w:val="45"/>
          <w:szCs w:val="45"/>
          <w:bdr w:val="none" w:color="auto" w:sz="0" w:space="0"/>
        </w:rPr>
        <w:t>法制审核目录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hint="default" w:ascii="Times New Roman" w:hAnsi="Times New Roman" w:cs="Times New Roman"/>
          <w:color w:val="3D3D3D"/>
          <w:sz w:val="32"/>
          <w:szCs w:val="32"/>
        </w:rPr>
      </w:pPr>
      <w:r>
        <w:rPr>
          <w:rFonts w:ascii="方正小标宋简体" w:hAnsi="方正小标宋简体" w:eastAsia="方正小标宋简体" w:cs="方正小标宋简体"/>
          <w:i w:val="0"/>
          <w:caps w:val="0"/>
          <w:color w:val="3D3D3D"/>
          <w:spacing w:val="0"/>
          <w:kern w:val="0"/>
          <w:sz w:val="44"/>
          <w:szCs w:val="44"/>
          <w:bdr w:val="none" w:color="auto" w:sz="0" w:space="0"/>
          <w:vertAlign w:val="baseline"/>
          <w:lang w:val="en-US" w:eastAsia="zh-CN" w:bidi="ar"/>
        </w:rPr>
        <w:t> </w:t>
      </w:r>
    </w:p>
    <w:tbl>
      <w:tblPr>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19"/>
        <w:gridCol w:w="1972"/>
        <w:gridCol w:w="4477"/>
        <w:gridCol w:w="801"/>
        <w:gridCol w:w="5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ascii="仿宋_GB2312" w:hAnsi="Times New Roman" w:eastAsia="仿宋_GB2312" w:cs="仿宋_GB2312"/>
                <w:b/>
                <w:color w:val="3D3D3D"/>
                <w:kern w:val="0"/>
                <w:sz w:val="21"/>
                <w:szCs w:val="21"/>
                <w:bdr w:val="none" w:color="auto" w:sz="0" w:space="0"/>
                <w:vertAlign w:val="baseline"/>
                <w:lang w:val="en-US" w:eastAsia="zh-CN" w:bidi="ar"/>
              </w:rPr>
              <w:t>序号</w:t>
            </w:r>
          </w:p>
        </w:tc>
        <w:tc>
          <w:tcPr>
            <w:tcW w:w="197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b/>
                <w:color w:val="3D3D3D"/>
                <w:kern w:val="0"/>
                <w:sz w:val="21"/>
                <w:szCs w:val="21"/>
                <w:bdr w:val="none" w:color="auto" w:sz="0" w:space="0"/>
                <w:vertAlign w:val="baseline"/>
                <w:lang w:val="en-US" w:eastAsia="zh-CN" w:bidi="ar"/>
              </w:rPr>
              <w:t>重大执法决定事项名称</w:t>
            </w:r>
          </w:p>
        </w:tc>
        <w:tc>
          <w:tcPr>
            <w:tcW w:w="44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b/>
                <w:color w:val="3D3D3D"/>
                <w:kern w:val="0"/>
                <w:sz w:val="21"/>
                <w:szCs w:val="21"/>
                <w:bdr w:val="none" w:color="auto" w:sz="0" w:space="0"/>
                <w:vertAlign w:val="baseline"/>
                <w:lang w:val="en-US" w:eastAsia="zh-CN" w:bidi="ar"/>
              </w:rPr>
              <w:t>法律依据</w:t>
            </w:r>
          </w:p>
        </w:tc>
        <w:tc>
          <w:tcPr>
            <w:tcW w:w="8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b/>
                <w:color w:val="3D3D3D"/>
                <w:kern w:val="0"/>
                <w:sz w:val="21"/>
                <w:szCs w:val="21"/>
                <w:bdr w:val="none" w:color="auto" w:sz="0" w:space="0"/>
                <w:vertAlign w:val="baseline"/>
                <w:lang w:val="en-US" w:eastAsia="zh-CN" w:bidi="ar"/>
              </w:rPr>
              <w:t>权力类别</w:t>
            </w:r>
          </w:p>
        </w:tc>
        <w:tc>
          <w:tcPr>
            <w:tcW w:w="55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b/>
                <w:color w:val="3D3D3D"/>
                <w:kern w:val="0"/>
                <w:sz w:val="21"/>
                <w:szCs w:val="21"/>
                <w:bdr w:val="none" w:color="auto" w:sz="0" w:space="0"/>
                <w:vertAlign w:val="baseline"/>
                <w:lang w:val="en-US" w:eastAsia="zh-CN" w:bidi="ar"/>
              </w:rPr>
              <w:t>行政执法主体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未取得相应从业资格证件，从事道路危险货物运输活动的处罚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《道路运输从业人员管理规定》（根据2019年6月21日《交通运输部关于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修改〈道路运输从业人员管理规定〉的决定》第二次修正）第四十六条　违反本规定，有下列行为之一的人员，由设区的市级人民政府交通运输主管部门处5万元以上10万元以下的罚款；构成犯罪的，依法追究刑事责任：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（一）未取得相应从业资格证件，从事道路危险货物运输活动的；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使用失效、伪造、变造的从业资格证件，从事道路危险货物运输活动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《道路运输从业人员管理规定》（根据2019年6月21日《交通运输部关于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修改〈道路运输从业人员管理规定〉的决定》第二次修正）第四十六条　违反本规定，有下列行为之一的人员，由设区的市级人民政府交通运输主管部门处5万元以上10万元以下的罚款；构成犯罪的，依法追究刑事责任：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47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（二）使用失效、伪造、变造的从业资格证件，从事道路危险货物运输活动的；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3 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超越从业资格证件核定范围，从事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道路危险货物运输活动的处罚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《道路运输从业人员管理规定》（根据2019年6月21日《交通运输部关于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修改〈道路运输从业人员管理规定〉的决定》第二次修正）第四十六条　违反本规定，有下列行为之一的人员，由设区的市级人民政府交通运输主管部门处5万元以上10万元以下的罚款；构成犯罪的，依法追究刑事责任：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4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（三）超越从业资格证件核定范围，从事道路危险货物运输活动的；</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4 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未取得从业资格证或者超越从业资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格证核定范围，驾驶出租汽车从事经营活动的处罚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《出租汽车驾驶员从业资格管理规定》（根据2016年8月26日《交通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运输部关于修改〈出租汽车驾驶员从业资格管理规定〉的决定》修正）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第四十一条　违反本规定，有下列行为之一的人员，由县级以上出租汽车行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政主管部门责令改正，并处1万元以上3万元以下的罚款；构成犯罪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    （一）未取得从业资格证或者超越从业资格证核定范围，驾驶出租汽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车从事经营活动的；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政主管部门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5 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使用失效、伪造、变造的从业资格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证，驾驶出租汽车从事经营活动的处罚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《出租汽车驾驶员从业资格管理规定》（根据2016年8月26日《交通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运输部关于修改〈出租汽车驾驶员从业资格管理规定〉的决定》修正）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第四十一条　违反本规定，有下列行为之一的人员，由县级以上出租汽车行政主管部门责令改正，并处1万元以上3万元以下的罚款；构成犯罪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1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 （二）使用失效、伪造、变造的从业资格证，驾驶出租汽车从事经营活动的；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1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政主管部门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6 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转借、出租、涂改从业资格证的处罚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《出租汽车驾驶员从业资格管理规定》（根据2016年8月26日《交通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运输部关于修改〈出租汽车驾驶员从业资格管理规定〉的决定》修正）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第四十一条　违反本规定，有下列行为之一的人员，由县级以上出租汽车行政主管部门责令改正，并处1万元以上3万元以下的罚款；构成犯罪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（三）转借、出租、涂改从业资格证的；</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政主管部门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7 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未取得经营许可，擅自从事或者变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相从事网约车经营活动的处罚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《网络预约出租汽车经营服务管理暂行办法》(2016年7月27日交通运输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部 工业和信息化部 公安部 商务部 工商总局 质检总局 国家网信办令2016年第60号公布) 第三十四条　违反本规定，有下列行为之一的，由县级以上出租汽车行政主管部门责令改正，予以警告，并处以10000元以上30000元以下罚款；构成犯罪的，依法追究刑事责任：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  （一）未取得经营许可，擅自从事或者变相从事网约车经营活动的；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出租汽车行政主管部门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8 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未依法取得港口经营许可证从事港口经营，或者港口理货业务经营人兼营货物装卸经营业务、仓储经营业务的处罚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《中华人民共和国港口法》（根据2018年12月29日第十三届全国人民代表大会常务委员会第七次会议《关于修改〈中华人民共和国电力法〉等四部法律的决定》第三次修正） 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港口行政管理部门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9 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利用公路桥梁进行牵拉、吊装等危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及公路桥梁安全的施工作业的处罚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《公路安全保护条例》（2011年3月7日中华人民共和国国务院令第593号公布）第五十九条 违反本条例第二十二条规定的，由公路管理机构责令改正，处2万元以上10万元以下的罚款。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2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第二十二条　禁止利用公路桥梁进行牵拉、吊装等危及公路桥梁安全的施工作业。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禁止利用公路桥梁（含桥下空间）、公路隧道、涵洞堆放物品，搭建设施以及铺设高压电线和输送易燃、易爆或者其他有毒有害气体、液体的管道。</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公路管理机构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10 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利用公路桥梁（含桥下空间）、公路隧道、涵洞堆放物品，搭建设施以及铺设高压电线和输送易燃、易爆或者其他有毒有害气体、液体的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管道的处罚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《公路安全保护条例》（2011年3月7日中华人民共和国国务院令第593号公布）第五十九条 违反本条例第二十二条规定的，由公路管理机构责令改正，处2万元以上10万元以下的罚款。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2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第二十二条　禁止利用公路桥梁进行牵拉、吊装等危及公路桥梁安全的施工作业。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禁止利用公路桥梁（含桥下空间）、公路隧道、涵洞堆放物品，搭建设施以及铺设高压电线和输送易燃、易爆或者其他有毒有害气体、液体的管道。</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公路管理机构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11 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未取得道路运输经营许可，擅自从事道路运输经营的处罚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《中华人民共和国道路运输条例》（根据2019年3月2日国务院令第709号《国务院关于修改部分行政 法规的决定》第三次修正）第六十三条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12 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未取得道路客运经营许可，擅自从事道路客运经营的处罚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《道路旅客运输及客运站管理规定》（根据2016年12月6日交通运输部《关于修改〈道路旅客运输及客运站管理规定〉的决定》第六次修正） 第七十九条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   （一）未取得道路客运经营许可，擅自从事道路客运经营的；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13 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未取得道路客运班线经营许可，擅自从事班车客运经营的处罚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《道路旅客运输及客运站管理规定》（根据2016年12月6日交通运输部《关于修改〈道路旅客运输及客运站管理规定〉的决定》第六次修正） 第七十九条　违反本规定，有下列行为之一的，由县级以上道路运输管理机构责令停止经营；有违法所得的，没收违法所得，处违法所得2倍以上10倍以下的罚款；没有违法所得或者违法所得不足2万元的，处3万元以上10万元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（二）未取得道路客运班线经营许可，擅自从事班车客运经营的；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14 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使用失效、伪造、变造、被注销等无效的道路客运许可证件从事道路客运经营的处罚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《道路旅客运输及客运站管理规定》（根据2016年12月6日交通运输部《关于修改〈道路旅客运输及客运站管理规定〉的决定》第六次修正） 第七十九条　违反本规定，有下列行为之一的，由县级以上道路运输管理机构责令停止经营；有违法所得的，没收违法所得，处违法所得2倍以上10倍以下的罚款；没有违法所得或者违法所得不足2万元的，处3万元以上10万元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    （三）使用失效、伪造、变造、被注销等无效的道路客运许可证件从事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道路客运经营的；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15 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超越许可事项，从事道路客运经营的处罚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《道路旅客运输及客运站管理规定》（根据2016年12月6日交通运输部《关于修改〈道路旅客运输及客运站管理规定〉的决定》第六次修正） 第七十九条　违反本规定，有下列行为之一的，由县级以上道路运输管理机构责令停止经营；有违法所得的，没收违法所得，处违法所得2倍以上10倍以下的罚款；没有违法所得或者违法所得不足2万元的，处3万元以上10万元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（四）超越许可事项，从事道路客运经营的；</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16 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未按规定取得道路货物运输经营许可，擅自从事道路货物运输经营的处罚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《道路货物运输及站场管理规定》（根据2019年6月20日交通运输部《关于修改〈道路货物运输及站场管理规定〉的决定》第五次修正）第五十七条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（一）未按规定取得道路货物运输经营许可，擅自从事道路货物运输经营的；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17 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使用失效、伪造、变造、被注销等无效的道路运输经营许可证件从事道路货物运输经营的处罚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《道路货物运输及站场管理规定》（根据2019年6月20日交通运输部《关于修改〈道路货物运输及站场管理规定〉的决定》第五次修正）第五十七条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21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21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（二）使用失效、伪造、变造、被注销等无效的道路运输经营许可证件从事道路货物运输经营的；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21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18 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超越许可的事项，从事道路货物运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输经营的处罚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《道路货物运输及站场管理规定》（根据2019年6月20日交通运输部《关于修改〈道路货物运输及站场管理规定〉的决定》第五次修正）第五十七条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（三）超越许可的事项，从事道路货物运输经营的；</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eastAsia" w:ascii="仿宋_GB2312" w:hAnsi="Times New Roman" w:eastAsia="仿宋_GB2312" w:cs="仿宋_GB2312"/>
                <w:color w:val="3D3D3D"/>
                <w:kern w:val="0"/>
                <w:sz w:val="21"/>
                <w:szCs w:val="21"/>
                <w:bdr w:val="none" w:color="auto" w:sz="0" w:space="0"/>
                <w:vertAlign w:val="baseline"/>
                <w:lang w:val="en-US" w:eastAsia="zh-CN" w:bidi="ar"/>
              </w:rPr>
              <w:t>县</w:t>
            </w:r>
            <w:r>
              <w:rPr>
                <w:rFonts w:hint="default" w:ascii="仿宋_GB2312" w:hAnsi="Times New Roman" w:eastAsia="仿宋_GB2312" w:cs="仿宋_GB2312"/>
                <w:color w:val="3D3D3D"/>
                <w:kern w:val="0"/>
                <w:sz w:val="21"/>
                <w:szCs w:val="21"/>
                <w:bdr w:val="none" w:color="auto" w:sz="0" w:space="0"/>
                <w:vertAlign w:val="baseline"/>
                <w:lang w:val="en-US" w:eastAsia="zh-CN" w:bidi="ar"/>
              </w:rPr>
              <w:t>道路运输管理机构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19 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船舶未按照国务院交通主管部门的规定配备船员擅自航行，或者浮动设施未按照国务院交通主管部门的规定配备掌握水上交通安全技能的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船员擅自作业的处罚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 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20 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未经考试合格并取得适任证书或者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其他适任证件的人员擅自从事船舶航行的处罚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  第六十六条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21 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按照国家规定必须取得船舶污染损害责任、沉船打捞责任的保险文书或者财务保证书的船舶的所有人或者经营人，未取得船舶污染损害责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任、沉船打捞责任保险文书或者财务担保证明的处罚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 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22 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从事危险货物运输的船舶，未编制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危险货物事故应急预案或者未配备相应的应急救援设备和器材的处罚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《中华人民共和国内河交通安全管理条例》（根据2019年3月2日国务院令第709号《国务院关于修改部分行政法规的决定》第三次修正）第七十一条  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    （一）从事危险货物运输的船舶，未编制危险货物事故应急预案或者未配备相应的应急救援设备和器材的；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23 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船舶装卸、过驳危险货物或者载运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危险货物进出港口未经海事管理机构、港口管理机构同意的处罚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《中华人民共和国内河交通安全管理条例》（根据2019年3月2日国务院令第709号《国务院关于修改部分行政法规的决定》第三次修正）第七十一条  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     （二）船舶装卸、过驳危险货物或者载运危险货物进出港口未经海事管理机构、港口管理机构同意的；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24 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伪造、变造、买卖、转借、冒用船舶检验证书、船舶登记证书、船员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适任证书或者其他适任证件的处罚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25 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船舶、浮动设施的所有人或者经营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人指使、强令船员违章操作的处罚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 第八十条  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26 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船舶不具备安全技术条件从事货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物、旅客运输，或者超载运输货物、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旅客的处罚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《中华人民共和国内河交通安全管理条例》（根据2019年3月2日国务院令第709号《国务院关于修改部分行政法规的决定》第三次修正） 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海事管理机构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27 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水路运输经营者使用未取得船舶营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运证件的船舶从事水路运输的处罚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 </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《国内水路运输管理条例》（根据2017年3月1日国务院令第676号第二次修订）第三十四条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水路运输管理部门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28 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以欺骗或者贿赂等不正当手段取得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《国内水路运输管理条例》规定的行政许可的处罚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《国内水路运输管理条例》（根据2017年3月1日国务院令第676号第二次修订）第三十六条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水路运输管理部门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0" w:hRule="atLeast"/>
          <w:jc w:val="center"/>
        </w:trPr>
        <w:tc>
          <w:tcPr>
            <w:tcW w:w="7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hanging="420"/>
              <w:jc w:val="center"/>
              <w:rPr>
                <w:color w:val="3D3D3D"/>
                <w:sz w:val="24"/>
                <w:szCs w:val="24"/>
              </w:rPr>
            </w:pPr>
            <w:r>
              <w:rPr>
                <w:rFonts w:hint="default" w:ascii="仿宋_GB2312" w:hAnsi="Times New Roman" w:eastAsia="仿宋_GB2312" w:cs="仿宋_GB2312"/>
                <w:color w:val="3D3D3D"/>
                <w:sz w:val="21"/>
                <w:szCs w:val="21"/>
                <w:bdr w:val="none" w:color="auto" w:sz="0" w:space="0"/>
              </w:rPr>
              <w:t>29 </w:t>
            </w:r>
          </w:p>
        </w:tc>
        <w:tc>
          <w:tcPr>
            <w:tcW w:w="19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水路旅客运输业务经营者未为其经营的客运船舶投保承运人责任保险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或者取得相应的财务担保的处罚</w:t>
            </w:r>
          </w:p>
        </w:tc>
        <w:tc>
          <w:tcPr>
            <w:tcW w:w="44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《国内水路运输管理条例》（根据2017年3月1日国务院令第676号第二次修订） 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8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行政处罚</w:t>
            </w:r>
          </w:p>
        </w:tc>
        <w:tc>
          <w:tcPr>
            <w:tcW w:w="5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default" w:ascii="Times New Roman" w:hAnsi="Times New Roman" w:cs="Times New Roman"/>
                <w:color w:val="3D3D3D"/>
                <w:sz w:val="32"/>
                <w:szCs w:val="32"/>
              </w:rPr>
            </w:pPr>
            <w:r>
              <w:rPr>
                <w:rFonts w:hint="default" w:ascii="仿宋_GB2312" w:hAnsi="Times New Roman" w:eastAsia="仿宋_GB2312" w:cs="仿宋_GB2312"/>
                <w:color w:val="3D3D3D"/>
                <w:kern w:val="0"/>
                <w:sz w:val="21"/>
                <w:szCs w:val="21"/>
                <w:bdr w:val="none" w:color="auto" w:sz="0" w:space="0"/>
                <w:vertAlign w:val="baseline"/>
                <w:lang w:val="en-US" w:eastAsia="zh-CN" w:bidi="ar"/>
              </w:rPr>
              <w:t>水路运输管理部门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default" w:ascii="Times New Roman" w:hAnsi="Times New Roman" w:cs="Times New Roman"/>
          <w:color w:val="3D3D3D"/>
          <w:sz w:val="32"/>
          <w:szCs w:val="32"/>
          <w:lang w:val="en-US" w:eastAsia="zh-CN"/>
        </w:rPr>
      </w:pPr>
      <w:r>
        <w:rPr>
          <w:rFonts w:hint="default" w:ascii="仿宋_GB2312" w:hAnsi="Times New Roman" w:eastAsia="仿宋_GB2312" w:cs="仿宋_GB2312"/>
          <w:i w:val="0"/>
          <w:caps w:val="0"/>
          <w:color w:val="3D3D3D"/>
          <w:spacing w:val="0"/>
          <w:kern w:val="0"/>
          <w:sz w:val="21"/>
          <w:szCs w:val="21"/>
          <w:bdr w:val="none" w:color="auto" w:sz="0" w:space="0"/>
          <w:vertAlign w:val="baseline"/>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453F9"/>
    <w:rsid w:val="6D0453F9"/>
    <w:rsid w:val="7EAE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2025-11-21T00:59:00Z</dcterms:created>
  <dc:creator>Administrator</dc:creator>
  <cp:lastModifiedBy>Administrator</cp:lastModifiedBy>
  <dcterms:modified xsi:type="dcterms:W3CDTF">2025-11-21T01:04:55Z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