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Calibri" w:hAnsi="Calibri" w:cs="Calibri"/>
          <w:kern w:val="0"/>
          <w:sz w:val="44"/>
          <w:szCs w:val="44"/>
        </w:rPr>
      </w:pPr>
    </w:p>
    <w:p>
      <w:pPr>
        <w:autoSpaceDE w:val="0"/>
        <w:autoSpaceDN w:val="0"/>
        <w:adjustRightInd w:val="0"/>
        <w:jc w:val="center"/>
        <w:rPr>
          <w:rFonts w:ascii="仿宋" w:hAnsi="Calibri" w:eastAsia="仿宋" w:cs="仿宋"/>
          <w:kern w:val="0"/>
          <w:sz w:val="32"/>
          <w:szCs w:val="32"/>
          <w:lang w:val="zh-CN"/>
        </w:rPr>
      </w:pPr>
    </w:p>
    <w:p>
      <w:pPr>
        <w:spacing w:beforeLines="50"/>
        <w:jc w:val="center"/>
        <w:rPr>
          <w:rFonts w:ascii="黑体" w:hAnsi="黑体" w:eastAsia="黑体"/>
          <w:b/>
          <w:sz w:val="32"/>
          <w:szCs w:val="32"/>
        </w:rPr>
      </w:pPr>
      <w:r>
        <w:rPr>
          <w:rFonts w:ascii="黑体" w:hAnsi="黑体" w:eastAsia="黑体"/>
          <w:b/>
          <w:sz w:val="32"/>
          <w:szCs w:val="32"/>
        </w:rPr>
        <w:t>20</w:t>
      </w:r>
      <w:r>
        <w:rPr>
          <w:rFonts w:hint="eastAsia" w:ascii="黑体" w:hAnsi="黑体" w:eastAsia="黑体"/>
          <w:b/>
          <w:sz w:val="32"/>
          <w:szCs w:val="32"/>
        </w:rPr>
        <w:t>2</w:t>
      </w:r>
      <w:r>
        <w:rPr>
          <w:rFonts w:hint="eastAsia" w:ascii="黑体" w:hAnsi="黑体" w:eastAsia="黑体"/>
          <w:b/>
          <w:sz w:val="32"/>
          <w:szCs w:val="32"/>
          <w:lang w:val="en-US" w:eastAsia="zh-CN"/>
        </w:rPr>
        <w:t>2</w:t>
      </w:r>
      <w:r>
        <w:rPr>
          <w:rFonts w:hint="eastAsia" w:ascii="黑体" w:hAnsi="黑体" w:eastAsia="黑体"/>
          <w:b/>
          <w:sz w:val="32"/>
          <w:szCs w:val="32"/>
        </w:rPr>
        <w:t>年度县城市管理和综合执法局整体资金绩效</w:t>
      </w:r>
      <w:r>
        <w:rPr>
          <w:rFonts w:hint="eastAsia" w:ascii="黑体" w:hAnsi="黑体" w:eastAsia="黑体"/>
          <w:b/>
          <w:bCs/>
          <w:sz w:val="32"/>
          <w:szCs w:val="32"/>
        </w:rPr>
        <w:t>报告</w:t>
      </w:r>
    </w:p>
    <w:p>
      <w:pPr>
        <w:adjustRightInd w:val="0"/>
        <w:snapToGrid w:val="0"/>
        <w:spacing w:line="600" w:lineRule="exact"/>
        <w:ind w:firstLine="560" w:firstLineChars="200"/>
        <w:rPr>
          <w:rFonts w:ascii="仿宋" w:hAnsi="仿宋" w:eastAsia="仿宋"/>
          <w:sz w:val="30"/>
          <w:szCs w:val="30"/>
        </w:rPr>
      </w:pPr>
      <w:r>
        <w:rPr>
          <w:rFonts w:ascii="仿宋" w:hAnsi="仿宋" w:eastAsia="仿宋"/>
          <w:sz w:val="28"/>
          <w:szCs w:val="28"/>
        </w:rPr>
        <w:t xml:space="preserve"> </w:t>
      </w:r>
      <w:r>
        <w:rPr>
          <w:rFonts w:ascii="仿宋" w:hAnsi="仿宋" w:eastAsia="仿宋"/>
          <w:sz w:val="30"/>
          <w:szCs w:val="30"/>
        </w:rPr>
        <w:t xml:space="preserve"> </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cs="宋体"/>
          <w:sz w:val="32"/>
          <w:szCs w:val="32"/>
        </w:rPr>
        <w:t>财政部关于印发《项目支出绩效评价管理办法》和《中共湖南省委办公厅湖南省人民政府办公厅关于全面实施预算绩效目标管理的实施意见》等文件要求，部门职能、规划、年度工作计划，部门预算资金、项目管理规定和财务会计制度，财政部门预算批复、部门年度预算执行情况、年度决算报告等,县</w:t>
      </w:r>
      <w:r>
        <w:rPr>
          <w:rFonts w:hint="eastAsia" w:ascii="仿宋" w:hAnsi="仿宋" w:eastAsia="仿宋"/>
          <w:sz w:val="32"/>
          <w:szCs w:val="32"/>
        </w:rPr>
        <w:t>城市管理和综合执法局对202</w:t>
      </w:r>
      <w:r>
        <w:rPr>
          <w:rFonts w:hint="eastAsia" w:ascii="仿宋" w:hAnsi="仿宋" w:eastAsia="仿宋"/>
          <w:sz w:val="32"/>
          <w:szCs w:val="32"/>
          <w:lang w:val="en-US" w:eastAsia="zh-CN"/>
        </w:rPr>
        <w:t>2</w:t>
      </w:r>
      <w:r>
        <w:rPr>
          <w:rFonts w:hint="eastAsia" w:ascii="仿宋" w:hAnsi="仿宋" w:eastAsia="仿宋"/>
          <w:sz w:val="32"/>
          <w:szCs w:val="32"/>
        </w:rPr>
        <w:t>年度部门整体支出绩效进行了全面综合评价。评价的重点是规范资金管理，厉行节约保运转，提高资金绩效，现将具体情况报告如下：</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一、部门概况</w:t>
      </w:r>
    </w:p>
    <w:p>
      <w:pPr>
        <w:adjustRightInd w:val="0"/>
        <w:snapToGrid w:val="0"/>
        <w:spacing w:line="560" w:lineRule="exact"/>
        <w:ind w:firstLine="632" w:firstLineChars="200"/>
        <w:rPr>
          <w:rFonts w:ascii="仿宋" w:hAnsi="仿宋" w:eastAsia="仿宋"/>
          <w:b/>
          <w:sz w:val="32"/>
          <w:szCs w:val="32"/>
        </w:rPr>
      </w:pPr>
      <w:r>
        <w:rPr>
          <w:rFonts w:hint="eastAsia" w:ascii="仿宋" w:hAnsi="仿宋" w:eastAsia="仿宋"/>
          <w:bCs/>
          <w:spacing w:val="-2"/>
          <w:sz w:val="32"/>
          <w:szCs w:val="32"/>
        </w:rPr>
        <w:t>(</w:t>
      </w:r>
      <w:r>
        <w:rPr>
          <w:rFonts w:hint="eastAsia" w:ascii="仿宋" w:hAnsi="仿宋" w:eastAsia="仿宋"/>
          <w:bCs/>
          <w:sz w:val="32"/>
          <w:szCs w:val="32"/>
        </w:rPr>
        <w:t>一）部门基本情况</w:t>
      </w:r>
      <w:r>
        <w:rPr>
          <w:rFonts w:hint="eastAsia" w:ascii="仿宋" w:hAnsi="仿宋" w:eastAsia="仿宋"/>
          <w:b/>
          <w:sz w:val="32"/>
          <w:szCs w:val="32"/>
        </w:rPr>
        <w:t>。</w:t>
      </w:r>
    </w:p>
    <w:p>
      <w:pPr>
        <w:spacing w:line="560" w:lineRule="exact"/>
        <w:ind w:firstLine="640" w:firstLineChars="200"/>
        <w:rPr>
          <w:rFonts w:ascii="仿宋" w:hAnsi="仿宋" w:eastAsia="仿宋"/>
          <w:bCs/>
          <w:color w:val="444444"/>
          <w:sz w:val="32"/>
          <w:szCs w:val="32"/>
        </w:rPr>
      </w:pPr>
      <w:r>
        <w:rPr>
          <w:rFonts w:hint="eastAsia" w:ascii="仿宋" w:hAnsi="仿宋" w:eastAsia="仿宋"/>
          <w:bCs/>
          <w:color w:val="444444"/>
          <w:sz w:val="32"/>
          <w:szCs w:val="32"/>
        </w:rPr>
        <w:t>县城市管理和综合执法局位于沅陵镇鸳鸯桥北移民局内，共有行政编制10人，全额事业编制数100人，协管员76人。在职实有人数为156人，行政编制8人，全额事业编制数70人，协管员76人，离退休人员10人。内设有办公室、法制股（加挂处罚中心）、行政审批股（加挂户外广告和渣土管理股）、市政设施管理股（加挂桥梁管理股）、财务股、人事股（加挂督查室）、等6个部门，单列局总工会。下辖城市管理和行政执法大队、城市环境卫生服务中心、城市园林绿化服务中心3个二级机构。</w:t>
      </w:r>
    </w:p>
    <w:p>
      <w:pPr>
        <w:widowControl/>
        <w:shd w:val="clear" w:color="auto" w:fill="FFFFFF"/>
        <w:tabs>
          <w:tab w:val="left" w:pos="720"/>
        </w:tabs>
        <w:spacing w:line="560" w:lineRule="exact"/>
        <w:ind w:firstLine="630" w:firstLineChars="196"/>
        <w:rPr>
          <w:rFonts w:ascii="仿宋" w:hAnsi="仿宋" w:eastAsia="仿宋"/>
          <w:bCs/>
          <w:color w:val="444444"/>
          <w:sz w:val="32"/>
          <w:szCs w:val="32"/>
        </w:rPr>
      </w:pPr>
      <w:r>
        <w:rPr>
          <w:rFonts w:ascii="仿宋" w:hAnsi="仿宋" w:eastAsia="仿宋"/>
          <w:b/>
          <w:bCs/>
          <w:color w:val="333333"/>
          <w:sz w:val="32"/>
          <w:szCs w:val="32"/>
          <w:shd w:val="clear" w:color="auto" w:fill="FFFFFF"/>
        </w:rPr>
        <w:t>（二）</w:t>
      </w:r>
      <w:r>
        <w:rPr>
          <w:rFonts w:hint="eastAsia" w:ascii="仿宋" w:hAnsi="仿宋" w:eastAsia="仿宋"/>
          <w:bCs/>
          <w:color w:val="444444"/>
          <w:sz w:val="32"/>
          <w:szCs w:val="32"/>
        </w:rPr>
        <w:t>主要职能职责：</w:t>
      </w:r>
    </w:p>
    <w:p>
      <w:pPr>
        <w:tabs>
          <w:tab w:val="left" w:pos="851"/>
        </w:tabs>
        <w:autoSpaceDE w:val="0"/>
        <w:autoSpaceDN w:val="0"/>
        <w:adjustRightInd w:val="0"/>
        <w:ind w:left="781"/>
        <w:rPr>
          <w:rFonts w:ascii="仿宋" w:hAnsi="仿宋" w:eastAsia="仿宋"/>
          <w:kern w:val="0"/>
          <w:sz w:val="32"/>
          <w:szCs w:val="32"/>
        </w:rPr>
      </w:pPr>
      <w:r>
        <w:rPr>
          <w:rFonts w:hint="eastAsia" w:ascii="仿宋" w:hAnsi="仿宋" w:eastAsia="仿宋"/>
          <w:kern w:val="0"/>
          <w:sz w:val="32"/>
          <w:szCs w:val="32"/>
        </w:rPr>
        <w:t>县城市管理和综合执法局主要职责：</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贯彻执行国家有关城市管理和综合执法方面的法律、法规、规章和政策；研究制定和组织实施环境卫生、园林绿化、供水、排水、污水处理、燃气、户外广告、公园、城市照明设施、城市垃圾集中处置、市政基础设施管理与维护的中长期规划和年度工作计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2.负责全县城市管理和综合执法工作的统一领导、综合协调和监督检查，组织业务培训及业务考核。</w:t>
      </w:r>
    </w:p>
    <w:p>
      <w:pPr>
        <w:spacing w:line="540" w:lineRule="exact"/>
        <w:ind w:firstLine="640" w:firstLineChars="200"/>
        <w:rPr>
          <w:rFonts w:ascii="仿宋" w:hAnsi="仿宋" w:eastAsia="仿宋"/>
          <w:color w:val="000000"/>
          <w:sz w:val="32"/>
          <w:szCs w:val="32"/>
        </w:rPr>
      </w:pPr>
      <w:r>
        <w:rPr>
          <w:rFonts w:hint="eastAsia" w:ascii="仿宋" w:hAnsi="仿宋" w:eastAsia="仿宋"/>
          <w:sz w:val="32"/>
          <w:szCs w:val="32"/>
        </w:rPr>
        <w:t>3.负责拟定并组织实施全县</w:t>
      </w:r>
      <w:r>
        <w:rPr>
          <w:rFonts w:hint="eastAsia" w:ascii="仿宋" w:hAnsi="仿宋" w:eastAsia="仿宋" w:cs="宋体"/>
          <w:color w:val="000000"/>
          <w:kern w:val="0"/>
          <w:sz w:val="32"/>
          <w:szCs w:val="32"/>
        </w:rPr>
        <w:t>城市管理和综合执法中长期规划和年度计划</w:t>
      </w:r>
      <w:r>
        <w:rPr>
          <w:rFonts w:hint="eastAsia" w:ascii="仿宋" w:hAnsi="仿宋" w:eastAsia="仿宋"/>
          <w:sz w:val="32"/>
          <w:szCs w:val="32"/>
        </w:rPr>
        <w:t>；制定全县城市管理容貌标准和环境卫生标准</w:t>
      </w:r>
      <w:r>
        <w:rPr>
          <w:rFonts w:hint="eastAsia" w:ascii="仿宋" w:hAnsi="仿宋" w:eastAsia="仿宋" w:cs="宋体"/>
          <w:color w:val="000000"/>
          <w:kern w:val="0"/>
          <w:sz w:val="32"/>
          <w:szCs w:val="32"/>
        </w:rPr>
        <w:t>；负责“智慧沅陵”数字城管平台的建设和管理。</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4.负责行使县城规划区内及制镇建成区临时占用和挖掘城市道路及公共场地、绿化地、城区古树名木移植、渣土运营、城市排水、户外广告设置的行政</w:t>
      </w:r>
      <w:r>
        <w:rPr>
          <w:rFonts w:hint="eastAsia" w:ascii="仿宋" w:hAnsi="仿宋" w:eastAsia="仿宋"/>
          <w:sz w:val="32"/>
          <w:szCs w:val="32"/>
        </w:rPr>
        <w:t>许可。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5.负责城市规划区内城市供水（含二次供水）、计划用水、节约用水的管理工作；负责城区供水企业的水质监测和指导，管理城市污水处理工作。</w:t>
      </w:r>
    </w:p>
    <w:p>
      <w:pPr>
        <w:spacing w:line="54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6.负责城市规划区园林、绿化、风景名胜区、公园、城区雕塑的管理和维护工作；负责城市规划区生物多样性保护工作；负责组织实施国家制定的城市园林绿化行业标准和行业规范；负责城市容貌和环境卫生的管理工作；负责组织实施国家制定的城市市容环境卫生标准和行业规范；负责城区生活垃圾的集中处置和垃圾处理场的管理。</w:t>
      </w:r>
    </w:p>
    <w:p>
      <w:pPr>
        <w:spacing w:line="5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7.负责城市市政公用设施、市政道路、路灯、城市桥涵、城市排水系统的管理和维护工作；负责城市市政基础设施改造和扩建工作；负责城市主次干道（包括人行道）的临时占用、挖掘管理工作；负责城区地下管网设施的监管工作，参与编制城区市政工程设施规划、计划和市政工程竣工验收。</w:t>
      </w:r>
    </w:p>
    <w:p>
      <w:pPr>
        <w:spacing w:line="54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8.负责城市公共空间秩序管理方面的户外广告设置，门头牌匾外立面装修管理工作；负责监督管理城区内车辆清洗站、场。</w:t>
      </w:r>
    </w:p>
    <w:p>
      <w:pPr>
        <w:spacing w:line="54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9.负责城市交通管理方面的城市道路车辆停放管理工作。</w:t>
      </w:r>
    </w:p>
    <w:p>
      <w:pPr>
        <w:spacing w:line="5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10.负责城区建筑垃圾倾倒、运输、消纳、处置的管理工作。</w:t>
      </w:r>
    </w:p>
    <w:p>
      <w:pPr>
        <w:spacing w:line="54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11.负责编制城市市政维护管理资金年度使用计划和申报工作；管理城市维护建设资金及其专项资金，检查监督各项资金的使用情况，依据界定的职能和法律、法规、规章和政策，负责有关专项资金的征收、管理和使用。</w:t>
      </w:r>
    </w:p>
    <w:p>
      <w:pPr>
        <w:widowControl/>
        <w:shd w:val="clear" w:color="auto" w:fill="FFFFFF"/>
        <w:spacing w:line="56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二、部门整体支出管理及使用情况</w:t>
      </w:r>
    </w:p>
    <w:p>
      <w:pPr>
        <w:widowControl/>
        <w:shd w:val="clear" w:color="auto" w:fill="FFFFFF"/>
        <w:spacing w:line="560" w:lineRule="exact"/>
        <w:ind w:firstLine="793" w:firstLineChars="247"/>
        <w:rPr>
          <w:rFonts w:ascii="仿宋" w:hAnsi="仿宋" w:eastAsia="仿宋" w:cs="宋体"/>
          <w:color w:val="333333"/>
          <w:kern w:val="0"/>
          <w:sz w:val="32"/>
          <w:szCs w:val="32"/>
        </w:rPr>
      </w:pPr>
      <w:r>
        <w:rPr>
          <w:rFonts w:ascii="仿宋" w:hAnsi="仿宋" w:eastAsia="仿宋" w:cs="宋体"/>
          <w:b/>
          <w:bCs/>
          <w:color w:val="333333"/>
          <w:kern w:val="0"/>
          <w:sz w:val="32"/>
          <w:szCs w:val="32"/>
        </w:rPr>
        <w:t>基本支出</w:t>
      </w:r>
    </w:p>
    <w:p>
      <w:pPr>
        <w:widowControl/>
        <w:shd w:val="clear" w:color="auto" w:fill="FFFFFF"/>
        <w:spacing w:line="56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基本支出</w:t>
      </w:r>
      <w:r>
        <w:rPr>
          <w:rFonts w:hint="eastAsia" w:ascii="仿宋" w:hAnsi="仿宋" w:eastAsia="仿宋" w:cs="宋体"/>
          <w:color w:val="333333"/>
          <w:kern w:val="0"/>
          <w:sz w:val="32"/>
          <w:szCs w:val="32"/>
          <w:lang w:val="en-US" w:eastAsia="zh-CN"/>
        </w:rPr>
        <w:t>1565.82</w:t>
      </w:r>
      <w:r>
        <w:rPr>
          <w:rFonts w:hint="eastAsia" w:ascii="仿宋" w:hAnsi="仿宋" w:eastAsia="仿宋" w:cs="宋体"/>
          <w:color w:val="333333"/>
          <w:kern w:val="0"/>
          <w:sz w:val="32"/>
          <w:szCs w:val="32"/>
        </w:rPr>
        <w:t>万</w:t>
      </w:r>
      <w:r>
        <w:rPr>
          <w:rFonts w:hint="eastAsia" w:ascii="仿宋" w:hAnsi="仿宋" w:eastAsia="仿宋" w:cs="宋体"/>
          <w:color w:val="333333"/>
          <w:kern w:val="0"/>
          <w:sz w:val="32"/>
          <w:szCs w:val="32"/>
          <w:lang w:val="en-US" w:eastAsia="zh-CN"/>
        </w:rPr>
        <w:t>元</w:t>
      </w:r>
      <w:r>
        <w:rPr>
          <w:rFonts w:ascii="仿宋" w:hAnsi="仿宋" w:eastAsia="仿宋" w:cs="宋体"/>
          <w:color w:val="333333"/>
          <w:kern w:val="0"/>
          <w:sz w:val="32"/>
          <w:szCs w:val="32"/>
        </w:rPr>
        <w:t>主要用于：工资福利支出</w:t>
      </w:r>
      <w:r>
        <w:rPr>
          <w:rFonts w:hint="eastAsia" w:ascii="仿宋" w:hAnsi="仿宋" w:eastAsia="仿宋" w:cs="宋体"/>
          <w:color w:val="333333"/>
          <w:kern w:val="0"/>
          <w:sz w:val="32"/>
          <w:szCs w:val="32"/>
          <w:lang w:val="en-US" w:eastAsia="zh-CN"/>
        </w:rPr>
        <w:t>1171.15</w:t>
      </w:r>
      <w:r>
        <w:rPr>
          <w:rFonts w:ascii="仿宋" w:hAnsi="仿宋" w:eastAsia="仿宋" w:cs="宋体"/>
          <w:color w:val="333333"/>
          <w:kern w:val="0"/>
          <w:sz w:val="32"/>
          <w:szCs w:val="32"/>
        </w:rPr>
        <w:t>万元，商品和服务支出</w:t>
      </w:r>
      <w:r>
        <w:rPr>
          <w:rFonts w:hint="eastAsia" w:ascii="仿宋" w:hAnsi="仿宋" w:eastAsia="仿宋" w:cs="宋体"/>
          <w:color w:val="333333"/>
          <w:kern w:val="0"/>
          <w:sz w:val="32"/>
          <w:szCs w:val="32"/>
          <w:lang w:val="en-US" w:eastAsia="zh-CN"/>
        </w:rPr>
        <w:t>262.68</w:t>
      </w:r>
      <w:r>
        <w:rPr>
          <w:rFonts w:ascii="仿宋" w:hAnsi="仿宋" w:eastAsia="仿宋" w:cs="宋体"/>
          <w:color w:val="333333"/>
          <w:kern w:val="0"/>
          <w:sz w:val="32"/>
          <w:szCs w:val="32"/>
        </w:rPr>
        <w:t>万元，对个人和家庭的补助</w:t>
      </w:r>
      <w:r>
        <w:rPr>
          <w:rFonts w:hint="eastAsia" w:ascii="仿宋" w:hAnsi="仿宋" w:eastAsia="仿宋" w:cs="宋体"/>
          <w:color w:val="333333"/>
          <w:kern w:val="0"/>
          <w:sz w:val="32"/>
          <w:szCs w:val="32"/>
          <w:lang w:val="en-US" w:eastAsia="zh-CN"/>
        </w:rPr>
        <w:t>120.87</w:t>
      </w:r>
      <w:r>
        <w:rPr>
          <w:rFonts w:ascii="仿宋" w:hAnsi="仿宋" w:eastAsia="仿宋" w:cs="宋体"/>
          <w:color w:val="333333"/>
          <w:kern w:val="0"/>
          <w:sz w:val="32"/>
          <w:szCs w:val="32"/>
        </w:rPr>
        <w:t>万元，</w:t>
      </w:r>
      <w:r>
        <w:rPr>
          <w:rFonts w:hint="eastAsia" w:ascii="仿宋" w:hAnsi="仿宋" w:eastAsia="仿宋" w:cs="宋体"/>
          <w:color w:val="333333"/>
          <w:kern w:val="0"/>
          <w:sz w:val="32"/>
          <w:szCs w:val="32"/>
          <w:lang w:val="en-US" w:eastAsia="zh-CN"/>
        </w:rPr>
        <w:t>其他支出11.13万元，</w:t>
      </w:r>
      <w:r>
        <w:rPr>
          <w:rFonts w:ascii="仿宋" w:hAnsi="仿宋" w:eastAsia="仿宋" w:cs="宋体"/>
          <w:color w:val="333333"/>
          <w:kern w:val="0"/>
          <w:sz w:val="32"/>
          <w:szCs w:val="32"/>
        </w:rPr>
        <w:t>均按财政部门要求进行使用和管理。其中，“三公”经费的使用和管理严格规范，</w:t>
      </w:r>
      <w:r>
        <w:rPr>
          <w:rFonts w:hint="eastAsia" w:ascii="仿宋" w:hAnsi="仿宋" w:eastAsia="仿宋" w:cs="宋体"/>
          <w:color w:val="333333"/>
          <w:kern w:val="0"/>
          <w:sz w:val="32"/>
          <w:szCs w:val="32"/>
        </w:rPr>
        <w:t>我局按照简化程序、务实节俭、杜绝浪费的原则管理，明确招待用餐标准，并由专人负责管理安排;接待费支出完全按照省市关于公务接待的有关文件执行，</w:t>
      </w:r>
      <w:r>
        <w:rPr>
          <w:rFonts w:ascii="仿宋" w:hAnsi="仿宋" w:eastAsia="仿宋" w:cs="宋体"/>
          <w:color w:val="333333"/>
          <w:kern w:val="0"/>
          <w:sz w:val="32"/>
          <w:szCs w:val="32"/>
        </w:rPr>
        <w:t>公车出行需有派车单，</w:t>
      </w:r>
      <w:r>
        <w:rPr>
          <w:rFonts w:hint="eastAsia" w:ascii="仿宋" w:hAnsi="仿宋" w:eastAsia="仿宋" w:cs="宋体"/>
          <w:color w:val="333333"/>
          <w:kern w:val="0"/>
          <w:sz w:val="32"/>
          <w:szCs w:val="32"/>
        </w:rPr>
        <w:t>无</w:t>
      </w:r>
      <w:r>
        <w:rPr>
          <w:rFonts w:ascii="仿宋" w:hAnsi="仿宋" w:eastAsia="仿宋" w:cs="宋体"/>
          <w:color w:val="333333"/>
          <w:kern w:val="0"/>
          <w:sz w:val="32"/>
          <w:szCs w:val="32"/>
        </w:rPr>
        <w:t>公务出国费用</w:t>
      </w:r>
      <w:r>
        <w:rPr>
          <w:rFonts w:hint="eastAsia" w:ascii="仿宋" w:hAnsi="仿宋" w:eastAsia="仿宋" w:cs="宋体"/>
          <w:color w:val="333333"/>
          <w:kern w:val="0"/>
          <w:sz w:val="32"/>
          <w:szCs w:val="32"/>
          <w:lang w:eastAsia="zh-CN"/>
        </w:rPr>
        <w:t>。</w:t>
      </w:r>
    </w:p>
    <w:p>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2</w:t>
      </w:r>
      <w:r>
        <w:rPr>
          <w:rFonts w:hint="eastAsia" w:ascii="仿宋" w:hAnsi="仿宋" w:eastAsia="仿宋"/>
          <w:spacing w:val="-2"/>
          <w:sz w:val="32"/>
          <w:szCs w:val="32"/>
        </w:rPr>
        <w:t>年初批复预算的“三公”经费为91万元，其中公务接待费28万元、因公出国（境）费0万元、公务用车购置及运行维护费63万元。</w:t>
      </w:r>
    </w:p>
    <w:p>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全年决算支出“三公”经费</w:t>
      </w:r>
      <w:r>
        <w:rPr>
          <w:rFonts w:hint="eastAsia" w:ascii="仿宋" w:hAnsi="仿宋" w:eastAsia="仿宋"/>
          <w:spacing w:val="-2"/>
          <w:sz w:val="32"/>
          <w:szCs w:val="32"/>
          <w:lang w:val="en-US" w:eastAsia="zh-CN"/>
        </w:rPr>
        <w:t>37.75</w:t>
      </w:r>
      <w:r>
        <w:rPr>
          <w:rFonts w:hint="eastAsia" w:ascii="仿宋" w:hAnsi="仿宋" w:eastAsia="仿宋"/>
          <w:spacing w:val="-2"/>
          <w:sz w:val="32"/>
          <w:szCs w:val="32"/>
        </w:rPr>
        <w:t>万元，实际节省了</w:t>
      </w:r>
      <w:r>
        <w:rPr>
          <w:rFonts w:hint="eastAsia" w:ascii="仿宋" w:hAnsi="仿宋" w:eastAsia="仿宋"/>
          <w:spacing w:val="-2"/>
          <w:sz w:val="32"/>
          <w:szCs w:val="32"/>
          <w:lang w:val="en-US" w:eastAsia="zh-CN"/>
        </w:rPr>
        <w:t>59.52</w:t>
      </w:r>
      <w:r>
        <w:rPr>
          <w:rFonts w:hint="eastAsia" w:ascii="仿宋" w:hAnsi="仿宋" w:eastAsia="仿宋"/>
          <w:spacing w:val="-2"/>
          <w:sz w:val="32"/>
          <w:szCs w:val="32"/>
        </w:rPr>
        <w:t>%，其中公务接待费支出</w:t>
      </w:r>
      <w:r>
        <w:rPr>
          <w:rFonts w:hint="eastAsia" w:ascii="仿宋" w:hAnsi="仿宋" w:eastAsia="仿宋"/>
          <w:spacing w:val="-2"/>
          <w:sz w:val="32"/>
          <w:szCs w:val="32"/>
          <w:lang w:val="en-US" w:eastAsia="zh-CN"/>
        </w:rPr>
        <w:t>2.28</w:t>
      </w:r>
      <w:r>
        <w:rPr>
          <w:rFonts w:hint="eastAsia" w:ascii="仿宋" w:hAnsi="仿宋" w:eastAsia="仿宋"/>
          <w:spacing w:val="-2"/>
          <w:sz w:val="32"/>
          <w:szCs w:val="32"/>
        </w:rPr>
        <w:t>万元，节省</w:t>
      </w:r>
      <w:r>
        <w:rPr>
          <w:rFonts w:hint="eastAsia" w:ascii="仿宋" w:hAnsi="仿宋" w:eastAsia="仿宋"/>
          <w:spacing w:val="-2"/>
          <w:sz w:val="32"/>
          <w:szCs w:val="32"/>
          <w:lang w:val="en-US" w:eastAsia="zh-CN"/>
        </w:rPr>
        <w:t>92</w:t>
      </w:r>
      <w:r>
        <w:rPr>
          <w:rFonts w:hint="eastAsia" w:ascii="仿宋" w:hAnsi="仿宋" w:eastAsia="仿宋"/>
          <w:spacing w:val="-2"/>
          <w:sz w:val="32"/>
          <w:szCs w:val="32"/>
        </w:rPr>
        <w:t>%，因公出国（境）费0万元，公务用车购置及运行维护费</w:t>
      </w:r>
      <w:r>
        <w:rPr>
          <w:rFonts w:hint="eastAsia" w:ascii="仿宋" w:hAnsi="仿宋" w:eastAsia="仿宋"/>
          <w:spacing w:val="-2"/>
          <w:sz w:val="32"/>
          <w:szCs w:val="32"/>
          <w:lang w:val="en-US" w:eastAsia="zh-CN"/>
        </w:rPr>
        <w:t>37.75</w:t>
      </w:r>
      <w:r>
        <w:rPr>
          <w:rFonts w:hint="eastAsia" w:ascii="仿宋" w:hAnsi="仿宋" w:eastAsia="仿宋"/>
          <w:spacing w:val="-2"/>
          <w:sz w:val="32"/>
          <w:szCs w:val="32"/>
        </w:rPr>
        <w:t>万元，节省</w:t>
      </w:r>
      <w:r>
        <w:rPr>
          <w:rFonts w:hint="eastAsia" w:ascii="仿宋" w:hAnsi="仿宋" w:eastAsia="仿宋"/>
          <w:spacing w:val="-2"/>
          <w:sz w:val="32"/>
          <w:szCs w:val="32"/>
          <w:lang w:val="en-US" w:eastAsia="zh-CN"/>
        </w:rPr>
        <w:t>40.08</w:t>
      </w:r>
      <w:r>
        <w:rPr>
          <w:rFonts w:hint="eastAsia" w:ascii="仿宋" w:hAnsi="仿宋" w:eastAsia="仿宋"/>
          <w:spacing w:val="-2"/>
          <w:sz w:val="32"/>
          <w:szCs w:val="32"/>
        </w:rPr>
        <w:t>%。</w:t>
      </w:r>
    </w:p>
    <w:p>
      <w:pPr>
        <w:widowControl/>
        <w:shd w:val="clear" w:color="auto" w:fill="FFFFFF"/>
        <w:spacing w:line="560" w:lineRule="exact"/>
        <w:ind w:firstLine="640" w:firstLineChars="200"/>
        <w:rPr>
          <w:rFonts w:ascii="仿宋" w:hAnsi="仿宋" w:eastAsia="仿宋" w:cs="宋体"/>
          <w:color w:val="333333"/>
          <w:kern w:val="0"/>
          <w:sz w:val="32"/>
          <w:szCs w:val="32"/>
        </w:rPr>
      </w:pPr>
    </w:p>
    <w:p>
      <w:pPr>
        <w:adjustRightInd w:val="0"/>
        <w:snapToGrid w:val="0"/>
        <w:spacing w:line="560" w:lineRule="exact"/>
        <w:ind w:firstLine="643" w:firstLineChars="200"/>
        <w:rPr>
          <w:rFonts w:ascii="仿宋" w:hAnsi="仿宋" w:eastAsia="仿宋" w:cs="黑体"/>
          <w:b/>
          <w:color w:val="444444"/>
          <w:kern w:val="0"/>
          <w:sz w:val="32"/>
          <w:szCs w:val="32"/>
          <w:shd w:val="clear" w:color="auto" w:fill="FFFFFF"/>
        </w:rPr>
      </w:pPr>
      <w:r>
        <w:rPr>
          <w:rFonts w:hint="eastAsia" w:ascii="仿宋" w:hAnsi="仿宋" w:eastAsia="仿宋"/>
          <w:b/>
          <w:color w:val="444444"/>
          <w:kern w:val="0"/>
          <w:sz w:val="32"/>
          <w:szCs w:val="32"/>
          <w:shd w:val="clear" w:color="auto" w:fill="FFFFFF"/>
        </w:rPr>
        <w:t>三、</w:t>
      </w:r>
      <w:r>
        <w:rPr>
          <w:rFonts w:hint="eastAsia" w:ascii="仿宋" w:hAnsi="仿宋" w:eastAsia="仿宋" w:cs="黑体"/>
          <w:b/>
          <w:color w:val="444444"/>
          <w:kern w:val="0"/>
          <w:sz w:val="32"/>
          <w:szCs w:val="32"/>
          <w:shd w:val="clear" w:color="auto" w:fill="FFFFFF"/>
        </w:rPr>
        <w:t>资产管理情况</w:t>
      </w:r>
    </w:p>
    <w:p>
      <w:pPr>
        <w:widowControl/>
        <w:shd w:val="clear" w:color="auto" w:fill="FFFFFF"/>
        <w:spacing w:line="560" w:lineRule="exact"/>
        <w:ind w:firstLine="640"/>
        <w:rPr>
          <w:rFonts w:ascii="仿宋" w:hAnsi="仿宋" w:eastAsia="仿宋" w:cs="宋体"/>
          <w:color w:val="444444"/>
          <w:sz w:val="32"/>
          <w:szCs w:val="32"/>
        </w:rPr>
      </w:pPr>
      <w:r>
        <w:rPr>
          <w:rFonts w:ascii="仿宋" w:hAnsi="仿宋" w:eastAsia="仿宋" w:cs="仿宋_GB2312"/>
          <w:color w:val="444444"/>
          <w:kern w:val="0"/>
          <w:sz w:val="32"/>
          <w:szCs w:val="32"/>
          <w:shd w:val="clear" w:color="auto" w:fill="FFFFFF"/>
        </w:rPr>
        <w:t>20</w:t>
      </w:r>
      <w:r>
        <w:rPr>
          <w:rFonts w:hint="eastAsia" w:ascii="仿宋" w:hAnsi="仿宋" w:eastAsia="仿宋" w:cs="仿宋_GB2312"/>
          <w:color w:val="444444"/>
          <w:kern w:val="0"/>
          <w:sz w:val="32"/>
          <w:szCs w:val="32"/>
          <w:shd w:val="clear" w:color="auto" w:fill="FFFFFF"/>
        </w:rPr>
        <w:t>2</w:t>
      </w:r>
      <w:r>
        <w:rPr>
          <w:rFonts w:hint="eastAsia" w:ascii="仿宋" w:hAnsi="仿宋" w:eastAsia="仿宋" w:cs="仿宋_GB2312"/>
          <w:color w:val="444444"/>
          <w:kern w:val="0"/>
          <w:sz w:val="32"/>
          <w:szCs w:val="32"/>
          <w:shd w:val="clear" w:color="auto" w:fill="FFFFFF"/>
          <w:lang w:val="en-US" w:eastAsia="zh-CN"/>
        </w:rPr>
        <w:t>2</w:t>
      </w:r>
      <w:r>
        <w:rPr>
          <w:rFonts w:hint="eastAsia" w:ascii="仿宋" w:hAnsi="仿宋" w:eastAsia="仿宋" w:cs="仿宋_GB2312"/>
          <w:color w:val="444444"/>
          <w:kern w:val="0"/>
          <w:sz w:val="32"/>
          <w:szCs w:val="32"/>
          <w:shd w:val="clear" w:color="auto" w:fill="FFFFFF"/>
        </w:rPr>
        <w:t>年我局现有的资产都是严格按照县国有资产管理局管理办法进行固定资产登记、入账、配置和核销制度进行管理。</w:t>
      </w:r>
    </w:p>
    <w:p>
      <w:pPr>
        <w:shd w:val="clear" w:color="auto" w:fill="FFFFFF"/>
        <w:spacing w:line="640" w:lineRule="exact"/>
        <w:ind w:firstLine="643" w:firstLineChars="200"/>
        <w:rPr>
          <w:rFonts w:ascii="仿宋" w:hAnsi="仿宋" w:eastAsia="仿宋"/>
          <w:spacing w:val="-2"/>
          <w:sz w:val="30"/>
          <w:szCs w:val="30"/>
        </w:rPr>
      </w:pPr>
      <w:r>
        <w:rPr>
          <w:rFonts w:hint="eastAsia" w:ascii="仿宋" w:hAnsi="仿宋" w:eastAsia="仿宋"/>
          <w:b/>
          <w:color w:val="444444"/>
          <w:kern w:val="0"/>
          <w:sz w:val="32"/>
          <w:szCs w:val="32"/>
          <w:shd w:val="clear" w:color="auto" w:fill="FFFFFF"/>
        </w:rPr>
        <w:t>四</w:t>
      </w:r>
      <w:r>
        <w:rPr>
          <w:rFonts w:hint="eastAsia" w:ascii="仿宋" w:hAnsi="仿宋" w:eastAsia="仿宋"/>
          <w:spacing w:val="-2"/>
          <w:sz w:val="30"/>
          <w:szCs w:val="30"/>
        </w:rPr>
        <w:t>、部门整体支出绩效情况</w:t>
      </w:r>
    </w:p>
    <w:p>
      <w:pPr>
        <w:shd w:val="clear" w:color="auto" w:fill="FFFFFF"/>
        <w:spacing w:line="640" w:lineRule="exact"/>
        <w:ind w:firstLine="640"/>
        <w:rPr>
          <w:rFonts w:ascii="仿宋" w:hAnsi="仿宋" w:eastAsia="仿宋"/>
          <w:bCs/>
          <w:sz w:val="30"/>
          <w:szCs w:val="30"/>
        </w:rPr>
      </w:pPr>
      <w:r>
        <w:rPr>
          <w:rFonts w:hint="eastAsia" w:ascii="仿宋" w:hAnsi="仿宋" w:eastAsia="仿宋"/>
          <w:bCs/>
          <w:sz w:val="30"/>
          <w:szCs w:val="30"/>
        </w:rPr>
        <w:t>我局对部门整体支出的预算执行高度重视。一是大力提倡勤俭节约，坚持把有限的经费用在城市管理和综合执法两项工作上；二是坚持财政预算管理制度务，做好预算支出及执行情况调度；三是严格财经纪律，严格财务制度，坚持先有预算、后有支出；四是严格审批程序，坚持对财务每笔开支合法性。这些措施，较好地保证了财务开支和资金使用的合法合规、安全有效。</w:t>
      </w:r>
    </w:p>
    <w:p>
      <w:pPr>
        <w:shd w:val="clear" w:color="auto" w:fill="FFFFFF"/>
        <w:spacing w:line="640" w:lineRule="exact"/>
        <w:ind w:firstLine="600" w:firstLineChars="200"/>
        <w:rPr>
          <w:rFonts w:ascii="仿宋" w:hAnsi="仿宋" w:eastAsia="仿宋"/>
          <w:bCs/>
          <w:sz w:val="30"/>
          <w:szCs w:val="30"/>
        </w:rPr>
      </w:pPr>
      <w:r>
        <w:rPr>
          <w:rFonts w:hint="eastAsia" w:ascii="仿宋" w:hAnsi="仿宋" w:eastAsia="仿宋"/>
          <w:bCs/>
          <w:sz w:val="30"/>
          <w:szCs w:val="30"/>
        </w:rPr>
        <w:t>（一）经济性： 202</w:t>
      </w:r>
      <w:r>
        <w:rPr>
          <w:rFonts w:hint="eastAsia" w:ascii="仿宋" w:hAnsi="仿宋" w:eastAsia="仿宋"/>
          <w:bCs/>
          <w:sz w:val="30"/>
          <w:szCs w:val="30"/>
          <w:lang w:val="en-US" w:eastAsia="zh-CN"/>
        </w:rPr>
        <w:t>2</w:t>
      </w:r>
      <w:r>
        <w:rPr>
          <w:rFonts w:hint="eastAsia" w:ascii="仿宋" w:hAnsi="仿宋" w:eastAsia="仿宋"/>
          <w:bCs/>
          <w:sz w:val="30"/>
          <w:szCs w:val="30"/>
        </w:rPr>
        <w:t>年预算支出总计</w:t>
      </w:r>
      <w:r>
        <w:rPr>
          <w:rFonts w:hint="eastAsia" w:ascii="仿宋" w:hAnsi="仿宋" w:eastAsia="仿宋"/>
          <w:bCs/>
          <w:sz w:val="30"/>
          <w:szCs w:val="30"/>
          <w:lang w:val="en-US" w:eastAsia="zh-CN"/>
        </w:rPr>
        <w:t>2180.66</w:t>
      </w:r>
      <w:r>
        <w:rPr>
          <w:rFonts w:hint="eastAsia" w:ascii="仿宋" w:hAnsi="仿宋" w:eastAsia="仿宋"/>
          <w:bCs/>
          <w:sz w:val="30"/>
          <w:szCs w:val="30"/>
        </w:rPr>
        <w:t>万元，实际支出</w:t>
      </w:r>
      <w:r>
        <w:rPr>
          <w:rFonts w:hint="eastAsia" w:ascii="仿宋" w:hAnsi="仿宋" w:eastAsia="仿宋"/>
          <w:bCs/>
          <w:sz w:val="30"/>
          <w:szCs w:val="30"/>
          <w:lang w:val="en-US" w:eastAsia="zh-CN"/>
        </w:rPr>
        <w:t>2180.66</w:t>
      </w:r>
      <w:r>
        <w:rPr>
          <w:rFonts w:hint="eastAsia" w:ascii="仿宋" w:hAnsi="仿宋" w:eastAsia="仿宋"/>
          <w:bCs/>
          <w:sz w:val="30"/>
          <w:szCs w:val="30"/>
        </w:rPr>
        <w:t>万元，很好的控制在经费范围内。</w:t>
      </w:r>
    </w:p>
    <w:p>
      <w:pPr>
        <w:ind w:firstLine="600" w:firstLineChars="200"/>
        <w:rPr>
          <w:rFonts w:ascii="仿宋" w:hAnsi="仿宋" w:eastAsia="仿宋"/>
          <w:bCs/>
          <w:sz w:val="30"/>
          <w:szCs w:val="30"/>
        </w:rPr>
      </w:pPr>
      <w:r>
        <w:rPr>
          <w:rFonts w:hint="eastAsia" w:ascii="仿宋" w:hAnsi="仿宋" w:eastAsia="仿宋"/>
          <w:bCs/>
          <w:sz w:val="30"/>
          <w:szCs w:val="30"/>
        </w:rPr>
        <w:t>（二）效率性：202</w:t>
      </w:r>
      <w:r>
        <w:rPr>
          <w:rFonts w:hint="eastAsia" w:ascii="仿宋" w:hAnsi="仿宋" w:eastAsia="仿宋"/>
          <w:bCs/>
          <w:sz w:val="30"/>
          <w:szCs w:val="30"/>
          <w:lang w:val="en-US" w:eastAsia="zh-CN"/>
        </w:rPr>
        <w:t>2</w:t>
      </w:r>
      <w:r>
        <w:rPr>
          <w:rFonts w:hint="eastAsia" w:ascii="仿宋" w:hAnsi="仿宋" w:eastAsia="仿宋"/>
          <w:bCs/>
          <w:sz w:val="30"/>
          <w:szCs w:val="30"/>
        </w:rPr>
        <w:t>年整体支出情况较好，上面下达的任务按时完成。</w:t>
      </w:r>
    </w:p>
    <w:p>
      <w:pPr>
        <w:ind w:firstLine="600" w:firstLineChars="200"/>
        <w:rPr>
          <w:rFonts w:ascii="仿宋" w:hAnsi="仿宋" w:eastAsia="仿宋"/>
          <w:bCs/>
          <w:sz w:val="30"/>
          <w:szCs w:val="30"/>
        </w:rPr>
      </w:pPr>
      <w:r>
        <w:rPr>
          <w:rFonts w:hint="eastAsia" w:ascii="仿宋" w:hAnsi="仿宋" w:eastAsia="仿宋"/>
          <w:bCs/>
          <w:sz w:val="30"/>
          <w:szCs w:val="30"/>
        </w:rPr>
        <w:t>（三）有效性：较好地完成了202</w:t>
      </w:r>
      <w:r>
        <w:rPr>
          <w:rFonts w:hint="eastAsia" w:ascii="仿宋" w:hAnsi="仿宋" w:eastAsia="仿宋"/>
          <w:bCs/>
          <w:sz w:val="30"/>
          <w:szCs w:val="30"/>
          <w:lang w:val="en-US" w:eastAsia="zh-CN"/>
        </w:rPr>
        <w:t>2</w:t>
      </w:r>
      <w:r>
        <w:rPr>
          <w:rFonts w:hint="eastAsia" w:ascii="仿宋" w:hAnsi="仿宋" w:eastAsia="仿宋"/>
          <w:bCs/>
          <w:sz w:val="30"/>
          <w:szCs w:val="30"/>
        </w:rPr>
        <w:t>年初设定的工作任务，在有限的工作经费基础上实现任务目标的同时，节约了部门预算经费。</w:t>
      </w:r>
    </w:p>
    <w:p>
      <w:pPr>
        <w:ind w:firstLine="600" w:firstLineChars="200"/>
        <w:rPr>
          <w:rFonts w:ascii="仿宋" w:hAnsi="仿宋" w:eastAsia="仿宋"/>
          <w:bCs/>
          <w:sz w:val="30"/>
          <w:szCs w:val="30"/>
        </w:rPr>
      </w:pPr>
      <w:r>
        <w:rPr>
          <w:rFonts w:hint="eastAsia" w:ascii="仿宋" w:hAnsi="仿宋" w:eastAsia="仿宋"/>
          <w:bCs/>
          <w:sz w:val="30"/>
          <w:szCs w:val="30"/>
        </w:rPr>
        <w:t>（四）可持续性：</w:t>
      </w:r>
      <w:r>
        <w:rPr>
          <w:rFonts w:hint="eastAsia" w:ascii="仿宋" w:hAnsi="仿宋" w:eastAsia="仿宋"/>
          <w:sz w:val="30"/>
          <w:szCs w:val="30"/>
        </w:rPr>
        <w:t>大力提倡勤俭节约，坚持把有限的经费用在城市管理和综合执法工作上，坚持财政管理制度，严格审批程序。这些措施，较好地保证了财务开支和资金使用的合法合规、安全有效，较好的保证了城市管理和综合执法工作的可持续性发展。</w:t>
      </w:r>
    </w:p>
    <w:p>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五、部门整体支出绩效评价</w:t>
      </w:r>
    </w:p>
    <w:p>
      <w:pPr>
        <w:spacing w:line="640" w:lineRule="exact"/>
        <w:rPr>
          <w:rFonts w:ascii="仿宋" w:hAnsi="仿宋" w:eastAsia="仿宋"/>
          <w:sz w:val="32"/>
          <w:szCs w:val="32"/>
        </w:rPr>
      </w:pPr>
      <w:r>
        <w:rPr>
          <w:rFonts w:hint="eastAsia" w:ascii="仿宋" w:hAnsi="仿宋" w:eastAsia="仿宋"/>
          <w:b/>
          <w:bCs/>
          <w:sz w:val="32"/>
          <w:szCs w:val="32"/>
        </w:rPr>
        <w:t xml:space="preserve">    1.预算配置。</w:t>
      </w:r>
      <w:r>
        <w:rPr>
          <w:rFonts w:hint="eastAsia" w:ascii="仿宋" w:hAnsi="仿宋" w:eastAsia="仿宋"/>
          <w:sz w:val="32"/>
          <w:szCs w:val="32"/>
        </w:rPr>
        <w:t>我局在职人员控制率为100%，我单位自评得分为5分。“三公经费”变动率为-5%，我局自评得分为7分。</w:t>
      </w:r>
    </w:p>
    <w:p>
      <w:pPr>
        <w:spacing w:line="640" w:lineRule="exact"/>
        <w:ind w:firstLine="643" w:firstLineChars="200"/>
        <w:rPr>
          <w:rFonts w:ascii="仿宋" w:hAnsi="仿宋" w:eastAsia="仿宋"/>
          <w:sz w:val="32"/>
          <w:szCs w:val="32"/>
        </w:rPr>
      </w:pPr>
      <w:r>
        <w:rPr>
          <w:rFonts w:hint="eastAsia" w:ascii="仿宋" w:hAnsi="仿宋" w:eastAsia="仿宋"/>
          <w:b/>
          <w:bCs/>
          <w:sz w:val="32"/>
          <w:szCs w:val="32"/>
        </w:rPr>
        <w:t>2.预算执行。</w:t>
      </w:r>
      <w:r>
        <w:rPr>
          <w:rFonts w:hint="eastAsia" w:ascii="仿宋" w:hAnsi="仿宋" w:eastAsia="仿宋"/>
          <w:sz w:val="32"/>
          <w:szCs w:val="32"/>
        </w:rPr>
        <w:t>预算完成率 100%,我局自评得分为2分。预算控制率小于0，我局自评得分为2分，结转结余率我单位自评得分为2分、公用经费控制率我局自评得分为8分、 “三公经费”控制率我局自评得分为8分、我局无非税收入，所以非税收入管理我局自评得分为满分2分、非税收入完成率得分为满分2分、今年我局未发生政府采购，所以政府采购率我局自评得分为6分。</w:t>
      </w:r>
    </w:p>
    <w:p>
      <w:pPr>
        <w:spacing w:line="600" w:lineRule="exact"/>
        <w:ind w:firstLine="803" w:firstLineChars="250"/>
        <w:rPr>
          <w:rFonts w:ascii="仿宋" w:hAnsi="仿宋" w:eastAsia="仿宋"/>
          <w:sz w:val="32"/>
          <w:szCs w:val="32"/>
        </w:rPr>
      </w:pPr>
      <w:r>
        <w:rPr>
          <w:rFonts w:hint="eastAsia" w:ascii="仿宋" w:hAnsi="仿宋" w:eastAsia="仿宋"/>
          <w:b/>
          <w:bCs/>
          <w:sz w:val="32"/>
          <w:szCs w:val="32"/>
        </w:rPr>
        <w:t>3.预算管理。</w:t>
      </w:r>
      <w:r>
        <w:rPr>
          <w:rFonts w:hint="eastAsia" w:ascii="仿宋" w:hAnsi="仿宋" w:eastAsia="仿宋"/>
          <w:sz w:val="32"/>
          <w:szCs w:val="32"/>
        </w:rPr>
        <w:t>管理制度健全性我局得分为8分、资金使用合规性我局自评得分为6分、会计资料报送的及时性我局自评得分为2分、预决算信息公开性和完善性我局自评得分为5分。</w:t>
      </w:r>
    </w:p>
    <w:p>
      <w:pPr>
        <w:spacing w:line="600" w:lineRule="exact"/>
        <w:ind w:firstLine="803" w:firstLineChars="250"/>
        <w:rPr>
          <w:rFonts w:ascii="仿宋" w:hAnsi="仿宋" w:eastAsia="仿宋"/>
          <w:sz w:val="32"/>
          <w:szCs w:val="32"/>
        </w:rPr>
      </w:pPr>
      <w:r>
        <w:rPr>
          <w:rFonts w:hint="eastAsia" w:ascii="仿宋" w:hAnsi="仿宋" w:eastAsia="仿宋"/>
          <w:b/>
          <w:sz w:val="32"/>
          <w:szCs w:val="32"/>
        </w:rPr>
        <w:t>4.</w:t>
      </w:r>
      <w:r>
        <w:rPr>
          <w:rFonts w:hint="eastAsia" w:ascii="仿宋" w:hAnsi="仿宋" w:eastAsia="仿宋"/>
          <w:b/>
          <w:bCs/>
          <w:sz w:val="32"/>
          <w:szCs w:val="32"/>
        </w:rPr>
        <w:t>资产管理。</w:t>
      </w:r>
      <w:r>
        <w:rPr>
          <w:rFonts w:hint="eastAsia" w:ascii="仿宋" w:hAnsi="仿宋" w:eastAsia="仿宋"/>
          <w:sz w:val="32"/>
          <w:szCs w:val="32"/>
        </w:rPr>
        <w:t>包括：资产管理制度健全性我局自评得分为3分、固定资产登记率我单位自评得分为2分、固定资产利用率我局自评得分为1分。</w:t>
      </w:r>
    </w:p>
    <w:p>
      <w:pPr>
        <w:spacing w:line="600" w:lineRule="exact"/>
        <w:ind w:firstLine="803" w:firstLineChars="250"/>
        <w:rPr>
          <w:rFonts w:ascii="仿宋" w:hAnsi="仿宋" w:eastAsia="仿宋"/>
          <w:sz w:val="32"/>
          <w:szCs w:val="32"/>
        </w:rPr>
      </w:pPr>
      <w:r>
        <w:rPr>
          <w:rFonts w:hint="eastAsia" w:ascii="仿宋" w:hAnsi="仿宋" w:eastAsia="仿宋"/>
          <w:b/>
          <w:bCs/>
          <w:sz w:val="32"/>
          <w:szCs w:val="32"/>
        </w:rPr>
        <w:t>5.职责履行。</w:t>
      </w:r>
      <w:r>
        <w:rPr>
          <w:rFonts w:hint="eastAsia" w:ascii="仿宋" w:hAnsi="仿宋" w:eastAsia="仿宋"/>
          <w:sz w:val="32"/>
          <w:szCs w:val="32"/>
        </w:rPr>
        <w:t>重点工作实际完成率我局自评得分为7分。</w:t>
      </w:r>
    </w:p>
    <w:p>
      <w:pPr>
        <w:spacing w:line="600" w:lineRule="exact"/>
        <w:ind w:firstLine="803" w:firstLineChars="250"/>
        <w:rPr>
          <w:rFonts w:ascii="仿宋" w:hAnsi="仿宋" w:eastAsia="仿宋"/>
          <w:sz w:val="32"/>
          <w:szCs w:val="32"/>
        </w:rPr>
      </w:pPr>
      <w:r>
        <w:rPr>
          <w:rFonts w:hint="eastAsia" w:ascii="仿宋" w:hAnsi="仿宋" w:eastAsia="仿宋"/>
          <w:b/>
          <w:bCs/>
          <w:sz w:val="32"/>
          <w:szCs w:val="32"/>
        </w:rPr>
        <w:t>6.履职效益。</w:t>
      </w:r>
      <w:r>
        <w:rPr>
          <w:rFonts w:hint="eastAsia" w:ascii="仿宋" w:hAnsi="仿宋" w:eastAsia="仿宋"/>
          <w:sz w:val="32"/>
          <w:szCs w:val="32"/>
        </w:rPr>
        <w:t>部门整体支出所产生的经济效益我局自评得分为5分、社会效益和生态效益不打分，行政效能我局自评分为4分，社会公众或服务对象满意度等我局自评得分共计为5分。</w:t>
      </w:r>
    </w:p>
    <w:p>
      <w:pPr>
        <w:spacing w:line="600" w:lineRule="exact"/>
        <w:ind w:firstLine="800" w:firstLineChars="250"/>
        <w:rPr>
          <w:rFonts w:ascii="仿宋" w:hAnsi="仿宋" w:eastAsia="仿宋" w:cs="楷体"/>
          <w:b/>
          <w:sz w:val="32"/>
          <w:szCs w:val="32"/>
        </w:rPr>
      </w:pPr>
      <w:r>
        <w:rPr>
          <w:rFonts w:hint="eastAsia" w:ascii="仿宋" w:hAnsi="仿宋" w:eastAsia="仿宋"/>
          <w:sz w:val="32"/>
          <w:szCs w:val="32"/>
        </w:rPr>
        <w:t>综上，我局综合得分为93分。</w:t>
      </w:r>
    </w:p>
    <w:p>
      <w:pPr>
        <w:spacing w:line="600" w:lineRule="exact"/>
        <w:ind w:firstLine="743" w:firstLineChars="250"/>
        <w:rPr>
          <w:rFonts w:ascii="仿宋" w:hAnsi="仿宋" w:eastAsia="仿宋"/>
          <w:b/>
          <w:spacing w:val="-2"/>
          <w:sz w:val="30"/>
          <w:szCs w:val="30"/>
        </w:rPr>
      </w:pPr>
      <w:r>
        <w:rPr>
          <w:rFonts w:hint="eastAsia" w:ascii="仿宋" w:hAnsi="仿宋" w:eastAsia="仿宋"/>
          <w:b/>
          <w:spacing w:val="-2"/>
          <w:sz w:val="30"/>
          <w:szCs w:val="30"/>
        </w:rPr>
        <w:t>六、存在的主要问题</w:t>
      </w:r>
    </w:p>
    <w:p>
      <w:pPr>
        <w:widowControl/>
        <w:shd w:val="clear" w:color="auto" w:fill="FFFFFF"/>
        <w:spacing w:line="560" w:lineRule="exact"/>
        <w:ind w:firstLine="640"/>
        <w:rPr>
          <w:rFonts w:ascii="仿宋" w:hAnsi="仿宋" w:eastAsia="仿宋" w:cs="宋体"/>
          <w:color w:val="333333"/>
          <w:kern w:val="0"/>
          <w:sz w:val="32"/>
          <w:szCs w:val="32"/>
        </w:rPr>
      </w:pPr>
      <w:r>
        <w:rPr>
          <w:rFonts w:ascii="仿宋" w:hAnsi="仿宋" w:eastAsia="仿宋" w:cs="宋体"/>
          <w:color w:val="333333"/>
          <w:kern w:val="0"/>
          <w:sz w:val="32"/>
          <w:szCs w:val="32"/>
        </w:rPr>
        <w:t>一是</w:t>
      </w:r>
      <w:r>
        <w:rPr>
          <w:rFonts w:hint="eastAsia" w:ascii="仿宋" w:hAnsi="仿宋" w:eastAsia="仿宋" w:cs="宋体"/>
          <w:color w:val="333333"/>
          <w:kern w:val="0"/>
          <w:sz w:val="32"/>
          <w:szCs w:val="32"/>
        </w:rPr>
        <w:t>城市维护经费</w:t>
      </w:r>
      <w:r>
        <w:rPr>
          <w:rFonts w:ascii="仿宋" w:hAnsi="仿宋" w:eastAsia="仿宋" w:cs="宋体"/>
          <w:color w:val="333333"/>
          <w:kern w:val="0"/>
          <w:sz w:val="32"/>
          <w:szCs w:val="32"/>
        </w:rPr>
        <w:t>过少，远远不能满足工作需要。</w:t>
      </w:r>
      <w:r>
        <w:rPr>
          <w:rFonts w:hint="eastAsia" w:ascii="仿宋" w:hAnsi="仿宋" w:eastAsia="仿宋" w:cs="宋体"/>
          <w:color w:val="333333"/>
          <w:kern w:val="0"/>
          <w:sz w:val="32"/>
          <w:szCs w:val="32"/>
        </w:rPr>
        <w:t>沅陵城区建设较早，各项公用设施老化严重，急需政府加大投入，不断完善各类城市配套设施。</w:t>
      </w:r>
    </w:p>
    <w:p>
      <w:pPr>
        <w:widowControl/>
        <w:shd w:val="clear" w:color="auto" w:fill="FFFFFF"/>
        <w:spacing w:line="560" w:lineRule="exact"/>
        <w:ind w:firstLine="640"/>
        <w:rPr>
          <w:rFonts w:ascii="仿宋" w:hAnsi="仿宋" w:eastAsia="仿宋" w:cs="宋体"/>
          <w:color w:val="333333"/>
          <w:kern w:val="0"/>
          <w:sz w:val="32"/>
          <w:szCs w:val="32"/>
        </w:rPr>
      </w:pPr>
      <w:r>
        <w:rPr>
          <w:rFonts w:ascii="仿宋" w:hAnsi="仿宋" w:eastAsia="仿宋" w:cs="宋体"/>
          <w:color w:val="333333"/>
          <w:kern w:val="0"/>
          <w:sz w:val="32"/>
          <w:szCs w:val="32"/>
        </w:rPr>
        <w:t>二是</w:t>
      </w:r>
      <w:r>
        <w:rPr>
          <w:rFonts w:hint="eastAsia" w:ascii="仿宋" w:hAnsi="仿宋" w:eastAsia="仿宋" w:cs="宋体"/>
          <w:color w:val="333333"/>
          <w:kern w:val="0"/>
          <w:sz w:val="32"/>
          <w:szCs w:val="32"/>
        </w:rPr>
        <w:t>协管员工资福利待遇过低</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不利于稳定协管员队伍，不利于日常工作</w:t>
      </w:r>
      <w:r>
        <w:rPr>
          <w:rFonts w:ascii="仿宋" w:hAnsi="仿宋" w:eastAsia="仿宋" w:cs="宋体"/>
          <w:color w:val="333333"/>
          <w:kern w:val="0"/>
          <w:sz w:val="32"/>
          <w:szCs w:val="32"/>
        </w:rPr>
        <w:t>。</w:t>
      </w:r>
    </w:p>
    <w:p>
      <w:pPr>
        <w:widowControl/>
        <w:shd w:val="clear" w:color="auto" w:fill="FFFFFF"/>
        <w:spacing w:line="560" w:lineRule="exact"/>
        <w:ind w:firstLine="640"/>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六</w:t>
      </w:r>
      <w:r>
        <w:rPr>
          <w:rFonts w:ascii="仿宋" w:hAnsi="仿宋" w:eastAsia="仿宋" w:cs="宋体"/>
          <w:b/>
          <w:bCs/>
          <w:color w:val="333333"/>
          <w:kern w:val="0"/>
          <w:sz w:val="32"/>
          <w:szCs w:val="32"/>
        </w:rPr>
        <w:t>、改进措施和有关建议</w:t>
      </w:r>
    </w:p>
    <w:p>
      <w:pPr>
        <w:widowControl/>
        <w:shd w:val="clear" w:color="auto" w:fill="FFFFFF"/>
        <w:spacing w:line="560" w:lineRule="exact"/>
        <w:ind w:firstLine="640"/>
        <w:rPr>
          <w:rFonts w:ascii="仿宋" w:hAnsi="仿宋" w:eastAsia="仿宋" w:cs="宋体"/>
          <w:color w:val="333333"/>
          <w:kern w:val="0"/>
          <w:sz w:val="32"/>
          <w:szCs w:val="32"/>
        </w:rPr>
      </w:pPr>
      <w:r>
        <w:rPr>
          <w:rFonts w:ascii="仿宋" w:hAnsi="仿宋" w:eastAsia="仿宋" w:cs="宋体"/>
          <w:color w:val="333333"/>
          <w:kern w:val="0"/>
          <w:sz w:val="32"/>
          <w:szCs w:val="32"/>
        </w:rPr>
        <w:t>请求</w:t>
      </w:r>
      <w:r>
        <w:rPr>
          <w:rFonts w:hint="eastAsia" w:ascii="仿宋" w:hAnsi="仿宋" w:eastAsia="仿宋" w:cs="宋体"/>
          <w:color w:val="333333"/>
          <w:kern w:val="0"/>
          <w:sz w:val="32"/>
          <w:szCs w:val="32"/>
        </w:rPr>
        <w:t>县</w:t>
      </w:r>
      <w:r>
        <w:rPr>
          <w:rFonts w:ascii="仿宋" w:hAnsi="仿宋" w:eastAsia="仿宋" w:cs="宋体"/>
          <w:color w:val="333333"/>
          <w:kern w:val="0"/>
          <w:sz w:val="32"/>
          <w:szCs w:val="32"/>
        </w:rPr>
        <w:t>政府、</w:t>
      </w:r>
      <w:r>
        <w:rPr>
          <w:rFonts w:hint="eastAsia" w:ascii="仿宋" w:hAnsi="仿宋" w:eastAsia="仿宋" w:cs="宋体"/>
          <w:color w:val="333333"/>
          <w:kern w:val="0"/>
          <w:sz w:val="32"/>
          <w:szCs w:val="32"/>
        </w:rPr>
        <w:t>县</w:t>
      </w:r>
      <w:r>
        <w:rPr>
          <w:rFonts w:ascii="仿宋" w:hAnsi="仿宋" w:eastAsia="仿宋" w:cs="宋体"/>
          <w:color w:val="333333"/>
          <w:kern w:val="0"/>
          <w:sz w:val="32"/>
          <w:szCs w:val="32"/>
        </w:rPr>
        <w:t>财政根据</w:t>
      </w:r>
      <w:r>
        <w:rPr>
          <w:rFonts w:hint="eastAsia" w:ascii="仿宋" w:hAnsi="仿宋" w:eastAsia="仿宋" w:cs="宋体"/>
          <w:color w:val="333333"/>
          <w:kern w:val="0"/>
          <w:sz w:val="32"/>
          <w:szCs w:val="32"/>
        </w:rPr>
        <w:t>我局实际情况</w:t>
      </w:r>
      <w:r>
        <w:rPr>
          <w:rFonts w:ascii="仿宋" w:hAnsi="仿宋" w:eastAsia="仿宋" w:cs="宋体"/>
          <w:color w:val="333333"/>
          <w:kern w:val="0"/>
          <w:sz w:val="32"/>
          <w:szCs w:val="32"/>
        </w:rPr>
        <w:t>，加</w:t>
      </w:r>
      <w:r>
        <w:rPr>
          <w:rFonts w:hint="eastAsia" w:ascii="仿宋" w:hAnsi="仿宋" w:eastAsia="仿宋" w:cs="宋体"/>
          <w:color w:val="333333"/>
          <w:kern w:val="0"/>
          <w:sz w:val="32"/>
          <w:szCs w:val="32"/>
        </w:rPr>
        <w:t>大城市设施建设和维护</w:t>
      </w:r>
      <w:r>
        <w:rPr>
          <w:rFonts w:ascii="仿宋" w:hAnsi="仿宋" w:eastAsia="仿宋" w:cs="宋体"/>
          <w:color w:val="333333"/>
          <w:kern w:val="0"/>
          <w:sz w:val="32"/>
          <w:szCs w:val="32"/>
        </w:rPr>
        <w:t>经费投入</w:t>
      </w:r>
      <w:r>
        <w:rPr>
          <w:rFonts w:hint="eastAsia" w:ascii="仿宋" w:hAnsi="仿宋" w:eastAsia="仿宋" w:cs="宋体"/>
          <w:color w:val="333333"/>
          <w:kern w:val="0"/>
          <w:sz w:val="32"/>
          <w:szCs w:val="32"/>
        </w:rPr>
        <w:t>，满足城市发展的需要。增加协管员的工资及福利待遇，让这支队伍发挥更大的作用。</w:t>
      </w:r>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rPr>
          <w:rFonts w:ascii="仿宋" w:hAnsi="仿宋" w:eastAsia="仿宋" w:cs="宋体"/>
          <w:color w:val="333333"/>
          <w:kern w:val="0"/>
          <w:sz w:val="32"/>
          <w:szCs w:val="32"/>
        </w:rPr>
      </w:pPr>
      <w:bookmarkStart w:id="0" w:name="_GoBack"/>
      <w:bookmarkEnd w:id="0"/>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沅陵县城市管理和综合执法局</w:t>
      </w:r>
    </w:p>
    <w:p>
      <w:pPr>
        <w:widowControl/>
        <w:shd w:val="clear" w:color="auto" w:fill="FFFFFF"/>
        <w:spacing w:line="560" w:lineRule="exact"/>
        <w:ind w:firstLine="4960" w:firstLineChars="1550"/>
        <w:rPr>
          <w:rFonts w:ascii="仿宋" w:hAnsi="仿宋" w:eastAsia="仿宋" w:cs="宋体"/>
          <w:color w:val="333333"/>
          <w:kern w:val="0"/>
          <w:szCs w:val="21"/>
        </w:rPr>
      </w:pP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年5月31日</w:t>
      </w:r>
    </w:p>
    <w:p>
      <w:pPr>
        <w:spacing w:line="640" w:lineRule="exact"/>
        <w:rPr>
          <w:rFonts w:ascii="仿宋" w:hAnsi="仿宋" w:eastAsia="仿宋"/>
          <w:sz w:val="32"/>
          <w:szCs w:val="32"/>
        </w:rPr>
      </w:pPr>
    </w:p>
    <w:sectPr>
      <w:footerReference r:id="rId3" w:type="default"/>
      <w:footerReference r:id="rId4" w:type="even"/>
      <w:pgSz w:w="11906" w:h="16838"/>
      <w:pgMar w:top="2155" w:right="1814" w:bottom="1701"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7C3"/>
    <w:rsid w:val="000067C3"/>
    <w:rsid w:val="00021F76"/>
    <w:rsid w:val="00036F88"/>
    <w:rsid w:val="00050032"/>
    <w:rsid w:val="00087FCA"/>
    <w:rsid w:val="000A1701"/>
    <w:rsid w:val="00103BB4"/>
    <w:rsid w:val="00112F39"/>
    <w:rsid w:val="00125601"/>
    <w:rsid w:val="001373DA"/>
    <w:rsid w:val="0015275B"/>
    <w:rsid w:val="001D35A1"/>
    <w:rsid w:val="00223080"/>
    <w:rsid w:val="0029501B"/>
    <w:rsid w:val="002B2324"/>
    <w:rsid w:val="002D7318"/>
    <w:rsid w:val="002E5A48"/>
    <w:rsid w:val="00307677"/>
    <w:rsid w:val="003202B0"/>
    <w:rsid w:val="00321BD2"/>
    <w:rsid w:val="0035658B"/>
    <w:rsid w:val="00385CA7"/>
    <w:rsid w:val="003F567F"/>
    <w:rsid w:val="004218FE"/>
    <w:rsid w:val="004B75D0"/>
    <w:rsid w:val="00520C23"/>
    <w:rsid w:val="00526E59"/>
    <w:rsid w:val="00533080"/>
    <w:rsid w:val="00556BDF"/>
    <w:rsid w:val="00607E74"/>
    <w:rsid w:val="006218D6"/>
    <w:rsid w:val="0062589E"/>
    <w:rsid w:val="006268EE"/>
    <w:rsid w:val="00641DC1"/>
    <w:rsid w:val="006460F0"/>
    <w:rsid w:val="006552BE"/>
    <w:rsid w:val="00666913"/>
    <w:rsid w:val="0067327B"/>
    <w:rsid w:val="0068261A"/>
    <w:rsid w:val="006A557C"/>
    <w:rsid w:val="006A62C2"/>
    <w:rsid w:val="006C2898"/>
    <w:rsid w:val="006F6F94"/>
    <w:rsid w:val="006F7C52"/>
    <w:rsid w:val="00733B35"/>
    <w:rsid w:val="0076171D"/>
    <w:rsid w:val="007F7C4E"/>
    <w:rsid w:val="00872E2C"/>
    <w:rsid w:val="008C14F1"/>
    <w:rsid w:val="008D2AF5"/>
    <w:rsid w:val="00931118"/>
    <w:rsid w:val="009B4A0B"/>
    <w:rsid w:val="009B64E2"/>
    <w:rsid w:val="009C746E"/>
    <w:rsid w:val="00A010EE"/>
    <w:rsid w:val="00A567E1"/>
    <w:rsid w:val="00AB6AFC"/>
    <w:rsid w:val="00B13B8E"/>
    <w:rsid w:val="00B3278B"/>
    <w:rsid w:val="00B80FE1"/>
    <w:rsid w:val="00BA5BC4"/>
    <w:rsid w:val="00C147B6"/>
    <w:rsid w:val="00C151EB"/>
    <w:rsid w:val="00C66D16"/>
    <w:rsid w:val="00CA535F"/>
    <w:rsid w:val="00CC0B65"/>
    <w:rsid w:val="00D804B3"/>
    <w:rsid w:val="00D86BA3"/>
    <w:rsid w:val="00DC1463"/>
    <w:rsid w:val="00DF1345"/>
    <w:rsid w:val="00E12651"/>
    <w:rsid w:val="00E4179C"/>
    <w:rsid w:val="00E46FC4"/>
    <w:rsid w:val="00EB4975"/>
    <w:rsid w:val="00EB5CD4"/>
    <w:rsid w:val="00F278F3"/>
    <w:rsid w:val="00F4506E"/>
    <w:rsid w:val="00FC7A90"/>
    <w:rsid w:val="00FF0899"/>
    <w:rsid w:val="02917649"/>
    <w:rsid w:val="049869D6"/>
    <w:rsid w:val="085A5EF9"/>
    <w:rsid w:val="0AAC5597"/>
    <w:rsid w:val="138631D4"/>
    <w:rsid w:val="18C167BD"/>
    <w:rsid w:val="1E820B8A"/>
    <w:rsid w:val="2A4D04FE"/>
    <w:rsid w:val="2A99004F"/>
    <w:rsid w:val="2C5873A8"/>
    <w:rsid w:val="2C675FDE"/>
    <w:rsid w:val="36386A43"/>
    <w:rsid w:val="37AD1A29"/>
    <w:rsid w:val="3A0A3CD3"/>
    <w:rsid w:val="3E57021F"/>
    <w:rsid w:val="445864E9"/>
    <w:rsid w:val="45184301"/>
    <w:rsid w:val="4BA51309"/>
    <w:rsid w:val="4BB55E04"/>
    <w:rsid w:val="4DC50F8B"/>
    <w:rsid w:val="50D956DE"/>
    <w:rsid w:val="55EB4FB5"/>
    <w:rsid w:val="60181302"/>
    <w:rsid w:val="61146748"/>
    <w:rsid w:val="626949EB"/>
    <w:rsid w:val="66221351"/>
    <w:rsid w:val="66964CAB"/>
    <w:rsid w:val="679C53A8"/>
    <w:rsid w:val="688D069B"/>
    <w:rsid w:val="6FBB3A28"/>
    <w:rsid w:val="6FDC47B6"/>
    <w:rsid w:val="70A45EA8"/>
    <w:rsid w:val="723C171A"/>
    <w:rsid w:val="77102F43"/>
    <w:rsid w:val="782D4536"/>
    <w:rsid w:val="78B315FD"/>
    <w:rsid w:val="78D00DDA"/>
    <w:rsid w:val="793B0112"/>
    <w:rsid w:val="7D7C7190"/>
    <w:rsid w:val="7F880D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7">
    <w:name w:val="page number"/>
    <w:basedOn w:val="6"/>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1">
    <w:name w:val="gai"/>
    <w:basedOn w:val="6"/>
    <w:qFormat/>
    <w:uiPriority w:val="0"/>
  </w:style>
  <w:style w:type="character" w:customStyle="1" w:styleId="12">
    <w:name w:val="tit"/>
    <w:basedOn w:val="6"/>
    <w:uiPriority w:val="0"/>
    <w:rPr>
      <w:color w:val="1D0000"/>
      <w:sz w:val="33"/>
      <w:szCs w:val="33"/>
    </w:rPr>
  </w:style>
  <w:style w:type="character" w:customStyle="1" w:styleId="13">
    <w:name w:val="ldjs"/>
    <w:basedOn w:val="6"/>
    <w:uiPriority w:val="0"/>
    <w:rPr>
      <w:color w:val="666666"/>
      <w:sz w:val="24"/>
      <w:szCs w:val="24"/>
    </w:rPr>
  </w:style>
  <w:style w:type="character" w:customStyle="1" w:styleId="14">
    <w:name w:val="gai2"/>
    <w:basedOn w:val="6"/>
    <w:uiPriority w:val="0"/>
  </w:style>
  <w:style w:type="character" w:customStyle="1" w:styleId="15">
    <w:name w:val="jiaoluo2"/>
    <w:basedOn w:val="6"/>
    <w:uiPriority w:val="0"/>
  </w:style>
  <w:style w:type="character" w:customStyle="1" w:styleId="16">
    <w:name w:val="zuo"/>
    <w:basedOn w:val="6"/>
    <w:uiPriority w:val="0"/>
  </w:style>
  <w:style w:type="character" w:customStyle="1" w:styleId="17">
    <w:name w:val="info-valid"/>
    <w:basedOn w:val="6"/>
    <w:qFormat/>
    <w:uiPriority w:val="0"/>
    <w:rPr>
      <w:color w:val="444444"/>
    </w:rPr>
  </w:style>
  <w:style w:type="character" w:customStyle="1" w:styleId="18">
    <w:name w:val="gai3"/>
    <w:basedOn w:val="6"/>
    <w:uiPriority w:val="0"/>
  </w:style>
  <w:style w:type="character" w:customStyle="1" w:styleId="19">
    <w:name w:val="tianqi"/>
    <w:basedOn w:val="6"/>
    <w:uiPriority w:val="0"/>
  </w:style>
  <w:style w:type="character" w:customStyle="1" w:styleId="20">
    <w:name w:val="quanp"/>
    <w:basedOn w:val="6"/>
    <w:qFormat/>
    <w:uiPriority w:val="0"/>
    <w:rPr>
      <w:color w:val="FFFFFF"/>
      <w:shd w:val="clear" w:color="auto" w:fill="7CB8FE"/>
    </w:rPr>
  </w:style>
  <w:style w:type="character" w:customStyle="1" w:styleId="21">
    <w:name w:val="last"/>
    <w:basedOn w:val="6"/>
    <w:uiPriority w:val="0"/>
  </w:style>
  <w:style w:type="character" w:customStyle="1" w:styleId="22">
    <w:name w:val="sjzs"/>
    <w:basedOn w:val="6"/>
    <w:uiPriority w:val="0"/>
    <w:rPr>
      <w:sz w:val="27"/>
      <w:szCs w:val="27"/>
    </w:rPr>
  </w:style>
  <w:style w:type="character" w:customStyle="1" w:styleId="23">
    <w:name w:val="last1"/>
    <w:basedOn w:val="6"/>
    <w:qFormat/>
    <w:uiPriority w:val="0"/>
  </w:style>
  <w:style w:type="character" w:customStyle="1" w:styleId="24">
    <w:name w:val="you"/>
    <w:basedOn w:val="6"/>
    <w:qFormat/>
    <w:uiPriority w:val="0"/>
  </w:style>
  <w:style w:type="character" w:customStyle="1" w:styleId="25">
    <w:name w:val="gai1"/>
    <w:basedOn w:val="6"/>
    <w:qFormat/>
    <w:uiPriority w:val="0"/>
  </w:style>
  <w:style w:type="character" w:customStyle="1" w:styleId="26">
    <w:name w:val="quanp2"/>
    <w:basedOn w:val="6"/>
    <w:uiPriority w:val="0"/>
    <w:rPr>
      <w:color w:val="FFFFFF"/>
      <w:sz w:val="16"/>
      <w:szCs w:val="0"/>
      <w:shd w:val="clear" w:color="auto" w:fill="7CB8FE"/>
    </w:rPr>
  </w:style>
  <w:style w:type="character" w:customStyle="1" w:styleId="27">
    <w:name w:val="fanhui"/>
    <w:basedOn w:val="6"/>
    <w:qFormat/>
    <w:uiPriority w:val="0"/>
    <w:rPr>
      <w:color w:val="FFFFFF"/>
      <w:sz w:val="24"/>
      <w:szCs w:val="24"/>
    </w:rPr>
  </w:style>
  <w:style w:type="character" w:customStyle="1" w:styleId="28">
    <w:name w:val="jiaoluo"/>
    <w:basedOn w:val="6"/>
    <w:uiPriority w:val="0"/>
  </w:style>
  <w:style w:type="character" w:customStyle="1" w:styleId="29">
    <w:name w:val="lname"/>
    <w:basedOn w:val="6"/>
    <w:uiPriority w:val="0"/>
    <w:rPr>
      <w:color w:val="000000"/>
      <w:sz w:val="30"/>
      <w:szCs w:val="30"/>
    </w:rPr>
  </w:style>
  <w:style w:type="character" w:customStyle="1" w:styleId="30">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B3604-04FD-454B-804B-3A9B3E537E5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459</Words>
  <Characters>2621</Characters>
  <Lines>21</Lines>
  <Paragraphs>6</Paragraphs>
  <TotalTime>0</TotalTime>
  <ScaleCrop>false</ScaleCrop>
  <LinksUpToDate>false</LinksUpToDate>
  <CharactersWithSpaces>3074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2022-05-31T02:11:00Z</dcterms:created>
  <dc:creator>User</dc:creator>
  <cp:lastModifiedBy>admin</cp:lastModifiedBy>
  <cp:lastPrinted>2020-09-15T04:40:00Z</cp:lastPrinted>
  <dcterms:modified xsi:type="dcterms:W3CDTF">2023-06-14T03:25:08Z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