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6A" w:rsidRDefault="00D9432E">
      <w:pPr>
        <w:widowControl/>
        <w:shd w:val="clear" w:color="auto" w:fill="FFFFFF"/>
        <w:spacing w:line="700" w:lineRule="atLeast"/>
        <w:jc w:val="center"/>
        <w:rPr>
          <w:rFonts w:ascii="宋体" w:eastAsia="宋体" w:hAnsi="宋体" w:cs="宋体"/>
          <w:color w:val="333333"/>
          <w:kern w:val="0"/>
          <w:sz w:val="24"/>
          <w:szCs w:val="24"/>
        </w:rPr>
      </w:pPr>
      <w:r>
        <w:rPr>
          <w:rFonts w:ascii="黑体" w:eastAsia="黑体" w:hAnsi="黑体" w:cs="宋体" w:hint="eastAsia"/>
          <w:color w:val="333333"/>
          <w:kern w:val="0"/>
          <w:sz w:val="44"/>
          <w:szCs w:val="44"/>
        </w:rPr>
        <w:t>沅陵县城镇生活垃圾处理费收缴管理细则</w:t>
      </w:r>
      <w:r w:rsidR="00993BD7">
        <w:rPr>
          <w:rFonts w:ascii="华文中宋" w:eastAsia="华文中宋" w:hAnsi="宋体" w:cs="宋体" w:hint="eastAsia"/>
          <w:color w:val="333333"/>
          <w:kern w:val="0"/>
          <w:sz w:val="44"/>
          <w:szCs w:val="44"/>
        </w:rPr>
        <w:t xml:space="preserve">　</w:t>
      </w:r>
    </w:p>
    <w:p w:rsidR="00D9432E" w:rsidRDefault="00993BD7" w:rsidP="00D9432E">
      <w:pPr>
        <w:widowControl/>
        <w:shd w:val="clear" w:color="auto" w:fill="FFFFFF"/>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p>
    <w:p w:rsidR="00D9432E" w:rsidRPr="00D9432E" w:rsidRDefault="00993BD7" w:rsidP="00D9432E">
      <w:pPr>
        <w:widowControl/>
        <w:shd w:val="clear" w:color="auto" w:fill="FFFFFF"/>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为加快城镇生活垃圾处理步伐，提高垃圾处理质量，改善县城生态环境，促进可持续发展，根据湖南省发展和改革委员会、湖南省财政厅、湖南省住房和城乡建设厅关于印发《湖南省城镇生活垃圾处理收费管理办法（2022年修订）》的通知（湘发改价费规〔2022〕945</w:t>
      </w:r>
      <w:r w:rsidR="00D9432E">
        <w:rPr>
          <w:rFonts w:ascii="仿宋" w:eastAsia="仿宋" w:hAnsi="仿宋" w:cs="宋体" w:hint="eastAsia"/>
          <w:color w:val="333333"/>
          <w:kern w:val="0"/>
          <w:sz w:val="32"/>
          <w:szCs w:val="32"/>
        </w:rPr>
        <w:t>号）精神，特制定</w:t>
      </w:r>
      <w:r w:rsidR="00D9432E" w:rsidRPr="00D9432E">
        <w:rPr>
          <w:rFonts w:ascii="仿宋" w:eastAsia="仿宋" w:hAnsi="仿宋" w:cs="宋体" w:hint="eastAsia"/>
          <w:color w:val="333333"/>
          <w:kern w:val="0"/>
          <w:sz w:val="32"/>
          <w:szCs w:val="32"/>
        </w:rPr>
        <w:t>县城镇生活垃圾处理费收缴管理细则</w:t>
      </w:r>
      <w:r w:rsidR="00D9432E">
        <w:rPr>
          <w:rFonts w:ascii="仿宋" w:eastAsia="仿宋" w:hAnsi="仿宋" w:cs="宋体" w:hint="eastAsia"/>
          <w:color w:val="333333"/>
          <w:kern w:val="0"/>
          <w:sz w:val="32"/>
          <w:szCs w:val="32"/>
        </w:rPr>
        <w:t>。</w:t>
      </w:r>
    </w:p>
    <w:p w:rsidR="00B62A6A" w:rsidRPr="00D9432E" w:rsidRDefault="00D9432E" w:rsidP="00D9432E">
      <w:pPr>
        <w:widowControl/>
        <w:shd w:val="clear" w:color="auto" w:fill="FFFFFF"/>
        <w:ind w:firstLineChars="200" w:firstLine="640"/>
        <w:rPr>
          <w:rFonts w:ascii="仿宋" w:eastAsia="仿宋" w:hAnsi="仿宋" w:cs="宋体"/>
          <w:color w:val="333333"/>
          <w:kern w:val="0"/>
          <w:sz w:val="32"/>
          <w:szCs w:val="32"/>
        </w:rPr>
      </w:pPr>
      <w:r w:rsidRPr="00D9432E">
        <w:rPr>
          <w:rFonts w:ascii="仿宋" w:eastAsia="仿宋" w:hAnsi="仿宋" w:cs="宋体" w:hint="eastAsia"/>
          <w:color w:val="333333"/>
          <w:kern w:val="0"/>
          <w:sz w:val="32"/>
          <w:szCs w:val="32"/>
        </w:rPr>
        <w:t xml:space="preserve">　</w:t>
      </w:r>
      <w:r w:rsidR="00993BD7">
        <w:rPr>
          <w:rFonts w:ascii="仿宋" w:eastAsia="仿宋" w:hAnsi="仿宋" w:cs="宋体" w:hint="eastAsia"/>
          <w:color w:val="333333"/>
          <w:kern w:val="0"/>
          <w:sz w:val="32"/>
          <w:szCs w:val="32"/>
        </w:rPr>
        <w:t xml:space="preserve">一、征收范围：凡在我县城镇环卫服务区范围内，所有产生生活垃圾的机关、企事业单位、社会团体、个体经营者、城市居民和城市暂住人口以及各类营运交通工具，均应按规定缴纳生活垃圾处理费。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 xml:space="preserve">二、征收标准：城市居民、暂住人口、农村进城定居人口每户每月5元；国家机关、企事业单位、社会团体按单位在职人数（包括临时工）每人每月2元，由单位缴纳；商业经营、建筑、营运车辆等其他垃圾处理收费具体标准见附表。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三、征收办法：征收主体为</w:t>
      </w:r>
      <w:r w:rsidR="006E17E4">
        <w:rPr>
          <w:rFonts w:ascii="仿宋" w:eastAsia="仿宋" w:hAnsi="仿宋" w:cs="宋体" w:hint="eastAsia"/>
          <w:color w:val="333333"/>
          <w:kern w:val="0"/>
          <w:sz w:val="32"/>
          <w:szCs w:val="32"/>
        </w:rPr>
        <w:t>市容和环境卫生</w:t>
      </w:r>
      <w:r>
        <w:rPr>
          <w:rFonts w:ascii="仿宋" w:eastAsia="仿宋" w:hAnsi="仿宋" w:cs="宋体" w:hint="eastAsia"/>
          <w:color w:val="333333"/>
          <w:kern w:val="0"/>
          <w:sz w:val="32"/>
          <w:szCs w:val="32"/>
        </w:rPr>
        <w:t>行政主管部门，征收方式采取委托代征和直接征收相结合的办法。城市居民（含暂住人口、农村进城定居人口）由县自来水公司收取水费时代征；营运机动车辆由县交通、交警、农机等主管部门代征；其他行业由</w:t>
      </w:r>
      <w:r w:rsidR="006E17E4" w:rsidRPr="004B7ACB">
        <w:rPr>
          <w:rFonts w:ascii="仿宋" w:eastAsia="仿宋" w:hAnsi="仿宋" w:cs="宋体" w:hint="eastAsia"/>
          <w:color w:val="000000" w:themeColor="text1"/>
          <w:kern w:val="0"/>
          <w:sz w:val="32"/>
          <w:szCs w:val="32"/>
        </w:rPr>
        <w:t>市容和环境卫生</w:t>
      </w:r>
      <w:r w:rsidR="002A0DCF" w:rsidRPr="004B7ACB">
        <w:rPr>
          <w:rFonts w:ascii="仿宋" w:eastAsia="仿宋" w:hAnsi="仿宋" w:cs="宋体" w:hint="eastAsia"/>
          <w:color w:val="000000" w:themeColor="text1"/>
          <w:kern w:val="0"/>
          <w:sz w:val="32"/>
          <w:szCs w:val="32"/>
        </w:rPr>
        <w:t>行政主管部门</w:t>
      </w:r>
      <w:r w:rsidRPr="004B7ACB">
        <w:rPr>
          <w:rFonts w:ascii="仿宋" w:eastAsia="仿宋" w:hAnsi="仿宋" w:cs="宋体" w:hint="eastAsia"/>
          <w:color w:val="000000" w:themeColor="text1"/>
          <w:kern w:val="0"/>
          <w:sz w:val="32"/>
          <w:szCs w:val="32"/>
        </w:rPr>
        <w:t>直接征</w:t>
      </w:r>
      <w:r>
        <w:rPr>
          <w:rFonts w:ascii="仿宋" w:eastAsia="仿宋" w:hAnsi="仿宋" w:cs="宋体" w:hint="eastAsia"/>
          <w:color w:val="333333"/>
          <w:kern w:val="0"/>
          <w:sz w:val="32"/>
          <w:szCs w:val="32"/>
        </w:rPr>
        <w:t xml:space="preserve">收。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lastRenderedPageBreak/>
        <w:t>四、资金管理：收取的垃圾处理费统一使用</w:t>
      </w:r>
      <w:r w:rsidRPr="004B7ACB">
        <w:rPr>
          <w:rFonts w:ascii="仿宋" w:eastAsia="仿宋" w:hAnsi="仿宋" w:cs="宋体" w:hint="eastAsia"/>
          <w:color w:val="000000" w:themeColor="text1"/>
          <w:kern w:val="0"/>
          <w:sz w:val="32"/>
          <w:szCs w:val="32"/>
        </w:rPr>
        <w:t>《中央非税收入票据》，全额缴入</w:t>
      </w:r>
      <w:r w:rsidR="002A0DCF" w:rsidRPr="004B7ACB">
        <w:rPr>
          <w:rFonts w:ascii="仿宋" w:eastAsia="仿宋" w:hAnsi="仿宋" w:cs="宋体" w:hint="eastAsia"/>
          <w:color w:val="000000" w:themeColor="text1"/>
          <w:kern w:val="0"/>
          <w:sz w:val="32"/>
          <w:szCs w:val="32"/>
        </w:rPr>
        <w:t>财政专户</w:t>
      </w:r>
      <w:r w:rsidRPr="004B7ACB">
        <w:rPr>
          <w:rFonts w:ascii="仿宋" w:eastAsia="仿宋" w:hAnsi="仿宋" w:cs="宋体" w:hint="eastAsia"/>
          <w:color w:val="000000" w:themeColor="text1"/>
          <w:kern w:val="0"/>
          <w:sz w:val="32"/>
          <w:szCs w:val="32"/>
        </w:rPr>
        <w:t>，实行收支两条线</w:t>
      </w:r>
      <w:r>
        <w:rPr>
          <w:rFonts w:ascii="仿宋" w:eastAsia="仿宋" w:hAnsi="仿宋" w:cs="宋体" w:hint="eastAsia"/>
          <w:color w:val="333333"/>
          <w:kern w:val="0"/>
          <w:sz w:val="32"/>
          <w:szCs w:val="32"/>
        </w:rPr>
        <w:t xml:space="preserve">管理，专项用于垃圾的收集、运输和处理。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 xml:space="preserve">五、减免政策：由沅陵镇各社区按年度摸底，公示后报沅陵镇人民政府审查造册，由征收部门落实。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 xml:space="preserve">六、其他有关事项：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1</w:t>
      </w:r>
      <w:r w:rsidR="002A0DCF">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征收城镇生活垃圾处理费后，</w:t>
      </w:r>
      <w:r w:rsidR="006E17E4">
        <w:rPr>
          <w:rFonts w:ascii="仿宋" w:eastAsia="仿宋" w:hAnsi="仿宋" w:cs="宋体" w:hint="eastAsia"/>
          <w:color w:val="333333"/>
          <w:kern w:val="0"/>
          <w:sz w:val="32"/>
          <w:szCs w:val="32"/>
        </w:rPr>
        <w:t>市容和环境卫生</w:t>
      </w:r>
      <w:r>
        <w:rPr>
          <w:rFonts w:ascii="仿宋" w:eastAsia="仿宋" w:hAnsi="仿宋" w:cs="宋体" w:hint="eastAsia"/>
          <w:color w:val="333333"/>
          <w:kern w:val="0"/>
          <w:sz w:val="32"/>
          <w:szCs w:val="32"/>
        </w:rPr>
        <w:t xml:space="preserve">行政主管部门要进一步加大环卫服务力度，城区生活垃圾必须做到日产日清，并按照“布局合理、方便群众”的原则完善环卫设施。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2</w:t>
      </w:r>
      <w:r w:rsidR="002A0DCF">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 xml:space="preserve">鉴于目前我县物业管理费中未含生活垃圾处理费，已实行物业管理的生活小区业主的生活垃圾处理费仍按本通知规定的标准执行。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3</w:t>
      </w:r>
      <w:r w:rsidR="002A0DCF">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对不按照规定缴纳城市生活垃圾处理费的，由</w:t>
      </w:r>
      <w:r w:rsidR="006E17E4">
        <w:rPr>
          <w:rFonts w:ascii="仿宋" w:eastAsia="仿宋" w:hAnsi="仿宋" w:cs="宋体" w:hint="eastAsia"/>
          <w:color w:val="333333"/>
          <w:kern w:val="0"/>
          <w:sz w:val="32"/>
          <w:szCs w:val="32"/>
        </w:rPr>
        <w:t>市容和环境卫生</w:t>
      </w:r>
      <w:r>
        <w:rPr>
          <w:rFonts w:ascii="仿宋" w:eastAsia="仿宋" w:hAnsi="仿宋" w:cs="宋体" w:hint="eastAsia"/>
          <w:color w:val="333333"/>
          <w:kern w:val="0"/>
          <w:sz w:val="32"/>
          <w:szCs w:val="32"/>
        </w:rPr>
        <w:t xml:space="preserve">行政主管部门按照《城市市容和环境卫生管理条例》等相关法律法规规定进行处罚。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4</w:t>
      </w:r>
      <w:r w:rsidR="002A0DCF">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 xml:space="preserve">各相关部门要认真做好宣传解释工作，争取社会的理解和支持，在确保社会稳定的前提下，顺利推进城镇生活垃圾处理费的征收工作。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仿宋" w:cs="宋体" w:hint="eastAsia"/>
          <w:color w:val="333333"/>
          <w:kern w:val="0"/>
          <w:sz w:val="32"/>
          <w:szCs w:val="32"/>
        </w:rPr>
        <w:t>七、执行时间：以上征收标准从2023年</w:t>
      </w:r>
      <w:r w:rsidR="002A0DCF">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 xml:space="preserve">月1日起执行。过去有关规定与本通知不符的，一律以本通知为准。　　</w:t>
      </w:r>
    </w:p>
    <w:p w:rsidR="00B62A6A" w:rsidRDefault="00993BD7" w:rsidP="006E17E4">
      <w:pPr>
        <w:widowControl/>
        <w:shd w:val="clear" w:color="auto" w:fill="FFFFFF"/>
        <w:ind w:firstLineChars="200" w:firstLine="640"/>
        <w:rPr>
          <w:rFonts w:ascii="仿宋" w:eastAsia="仿宋" w:hAnsi="仿宋" w:cs="宋体"/>
          <w:color w:val="333333"/>
          <w:kern w:val="0"/>
          <w:szCs w:val="21"/>
        </w:rPr>
      </w:pPr>
      <w:r>
        <w:rPr>
          <w:rFonts w:ascii="仿宋" w:eastAsia="仿宋" w:hAnsi="Verdana" w:cs="宋体" w:hint="eastAsia"/>
          <w:color w:val="333333"/>
          <w:kern w:val="0"/>
          <w:sz w:val="32"/>
          <w:szCs w:val="32"/>
        </w:rPr>
        <w:t> </w:t>
      </w:r>
      <w:r>
        <w:rPr>
          <w:rFonts w:ascii="仿宋" w:eastAsia="仿宋" w:hAnsi="仿宋" w:cs="宋体" w:hint="eastAsia"/>
          <w:color w:val="333333"/>
          <w:kern w:val="0"/>
          <w:sz w:val="32"/>
          <w:szCs w:val="32"/>
        </w:rPr>
        <w:t xml:space="preserve">　　</w:t>
      </w:r>
    </w:p>
    <w:p w:rsidR="00B62A6A" w:rsidRDefault="00993BD7" w:rsidP="006E17E4">
      <w:pPr>
        <w:widowControl/>
        <w:shd w:val="clear" w:color="auto" w:fill="FFFFFF"/>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 xml:space="preserve">附件：沅陵县城镇生活垃圾处理收费项目及标准　　</w:t>
      </w:r>
    </w:p>
    <w:p w:rsidR="00B62A6A" w:rsidRDefault="00B62A6A" w:rsidP="006E17E4">
      <w:pPr>
        <w:widowControl/>
        <w:shd w:val="clear" w:color="auto" w:fill="FFFFFF"/>
        <w:ind w:firstLineChars="200" w:firstLine="640"/>
        <w:rPr>
          <w:rFonts w:ascii="仿宋" w:eastAsia="仿宋" w:hAnsi="仿宋" w:cs="宋体"/>
          <w:color w:val="333333"/>
          <w:kern w:val="0"/>
          <w:sz w:val="32"/>
          <w:szCs w:val="32"/>
        </w:rPr>
      </w:pPr>
    </w:p>
    <w:p w:rsidR="006E17E4" w:rsidRDefault="006E17E4" w:rsidP="006E17E4">
      <w:pPr>
        <w:widowControl/>
        <w:shd w:val="clear" w:color="auto" w:fill="FFFFFF"/>
        <w:ind w:firstLineChars="200" w:firstLine="640"/>
        <w:rPr>
          <w:rFonts w:ascii="仿宋" w:eastAsia="仿宋" w:hAnsi="仿宋" w:cs="宋体"/>
          <w:color w:val="333333"/>
          <w:kern w:val="0"/>
          <w:sz w:val="32"/>
          <w:szCs w:val="32"/>
        </w:rPr>
      </w:pPr>
    </w:p>
    <w:p w:rsidR="00B62A6A" w:rsidRDefault="002A0DCF" w:rsidP="004B7ACB">
      <w:pPr>
        <w:widowControl/>
        <w:shd w:val="clear" w:color="auto" w:fill="FFFFFF"/>
        <w:ind w:right="640" w:firstLineChars="200" w:firstLine="640"/>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二0二三年五月</w:t>
      </w:r>
      <w:r w:rsidR="004B7ACB">
        <w:rPr>
          <w:rFonts w:ascii="仿宋" w:eastAsia="仿宋" w:hAnsi="仿宋" w:cs="宋体" w:hint="eastAsia"/>
          <w:color w:val="333333"/>
          <w:kern w:val="0"/>
          <w:sz w:val="32"/>
          <w:szCs w:val="32"/>
        </w:rPr>
        <w:t>二十三</w:t>
      </w:r>
      <w:r>
        <w:rPr>
          <w:rFonts w:ascii="仿宋" w:eastAsia="仿宋" w:hAnsi="仿宋" w:cs="宋体" w:hint="eastAsia"/>
          <w:color w:val="333333"/>
          <w:kern w:val="0"/>
          <w:sz w:val="32"/>
          <w:szCs w:val="32"/>
        </w:rPr>
        <w:t>日</w:t>
      </w:r>
    </w:p>
    <w:p w:rsidR="006E17E4" w:rsidRDefault="006E17E4"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4E25EB" w:rsidRDefault="004E25EB" w:rsidP="006E17E4">
      <w:pPr>
        <w:widowControl/>
        <w:shd w:val="clear" w:color="auto" w:fill="FFFFFF"/>
        <w:ind w:firstLineChars="200" w:firstLine="640"/>
        <w:jc w:val="right"/>
        <w:rPr>
          <w:rFonts w:ascii="仿宋" w:eastAsia="仿宋" w:hAnsi="仿宋" w:cs="宋体"/>
          <w:color w:val="333333"/>
          <w:kern w:val="0"/>
          <w:sz w:val="32"/>
          <w:szCs w:val="32"/>
        </w:rPr>
      </w:pPr>
    </w:p>
    <w:p w:rsidR="00D9432E" w:rsidRDefault="00D9432E">
      <w:pPr>
        <w:widowControl/>
        <w:shd w:val="clear" w:color="auto" w:fill="FFFFFF"/>
        <w:spacing w:line="560" w:lineRule="exact"/>
        <w:jc w:val="center"/>
        <w:rPr>
          <w:rFonts w:asciiTheme="majorEastAsia" w:eastAsiaTheme="majorEastAsia" w:hAnsiTheme="majorEastAsia"/>
          <w:color w:val="000000"/>
          <w:sz w:val="44"/>
          <w:szCs w:val="44"/>
          <w:shd w:val="clear" w:color="auto" w:fill="FFFFFF"/>
        </w:rPr>
      </w:pPr>
    </w:p>
    <w:p w:rsidR="00D9432E" w:rsidRDefault="00D9432E">
      <w:pPr>
        <w:widowControl/>
        <w:shd w:val="clear" w:color="auto" w:fill="FFFFFF"/>
        <w:spacing w:line="560" w:lineRule="exact"/>
        <w:jc w:val="center"/>
        <w:rPr>
          <w:rFonts w:asciiTheme="majorEastAsia" w:eastAsiaTheme="majorEastAsia" w:hAnsiTheme="majorEastAsia"/>
          <w:color w:val="000000"/>
          <w:sz w:val="44"/>
          <w:szCs w:val="44"/>
          <w:shd w:val="clear" w:color="auto" w:fill="FFFFFF"/>
        </w:rPr>
      </w:pPr>
    </w:p>
    <w:p w:rsidR="00D9432E" w:rsidRDefault="00D9432E">
      <w:pPr>
        <w:widowControl/>
        <w:shd w:val="clear" w:color="auto" w:fill="FFFFFF"/>
        <w:spacing w:line="560" w:lineRule="exact"/>
        <w:jc w:val="center"/>
        <w:rPr>
          <w:rFonts w:asciiTheme="majorEastAsia" w:eastAsiaTheme="majorEastAsia" w:hAnsiTheme="majorEastAsia"/>
          <w:color w:val="000000"/>
          <w:sz w:val="44"/>
          <w:szCs w:val="44"/>
          <w:shd w:val="clear" w:color="auto" w:fill="FFFFFF"/>
        </w:rPr>
      </w:pPr>
    </w:p>
    <w:p w:rsidR="00B62A6A" w:rsidRPr="00CC1BF9" w:rsidRDefault="00993BD7">
      <w:pPr>
        <w:widowControl/>
        <w:shd w:val="clear" w:color="auto" w:fill="FFFFFF"/>
        <w:spacing w:line="560" w:lineRule="exact"/>
        <w:jc w:val="center"/>
        <w:rPr>
          <w:rFonts w:asciiTheme="majorEastAsia" w:eastAsiaTheme="majorEastAsia" w:hAnsiTheme="majorEastAsia"/>
          <w:color w:val="000000"/>
          <w:sz w:val="44"/>
          <w:szCs w:val="44"/>
          <w:shd w:val="clear" w:color="auto" w:fill="FFFFFF"/>
        </w:rPr>
      </w:pPr>
      <w:r w:rsidRPr="00CC1BF9">
        <w:rPr>
          <w:rFonts w:asciiTheme="majorEastAsia" w:eastAsiaTheme="majorEastAsia" w:hAnsiTheme="majorEastAsia" w:hint="eastAsia"/>
          <w:color w:val="000000"/>
          <w:sz w:val="44"/>
          <w:szCs w:val="44"/>
          <w:shd w:val="clear" w:color="auto" w:fill="FFFFFF"/>
        </w:rPr>
        <w:lastRenderedPageBreak/>
        <w:t>沅陵县城镇生活垃圾处理收费项目及标准</w:t>
      </w:r>
    </w:p>
    <w:p w:rsidR="00B62A6A" w:rsidRDefault="00B62A6A">
      <w:pPr>
        <w:widowControl/>
        <w:shd w:val="clear" w:color="auto" w:fill="FFFFFF"/>
        <w:spacing w:line="560" w:lineRule="exact"/>
        <w:jc w:val="center"/>
        <w:rPr>
          <w:rFonts w:ascii="华文中宋" w:eastAsia="华文中宋"/>
          <w:color w:val="000000"/>
          <w:sz w:val="44"/>
          <w:szCs w:val="44"/>
          <w:shd w:val="clear" w:color="auto" w:fill="FFFFFF"/>
        </w:rPr>
      </w:pPr>
    </w:p>
    <w:tbl>
      <w:tblPr>
        <w:tblW w:w="9489" w:type="dxa"/>
        <w:shd w:val="clear" w:color="auto" w:fill="FFFFFF"/>
        <w:tblCellMar>
          <w:left w:w="0" w:type="dxa"/>
          <w:right w:w="0" w:type="dxa"/>
        </w:tblCellMar>
        <w:tblLook w:val="04A0"/>
      </w:tblPr>
      <w:tblGrid>
        <w:gridCol w:w="836"/>
        <w:gridCol w:w="2487"/>
        <w:gridCol w:w="1497"/>
        <w:gridCol w:w="859"/>
        <w:gridCol w:w="3810"/>
      </w:tblGrid>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序号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收费项目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计费单位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收费标准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备　　　　　　　注　　</w:t>
            </w:r>
          </w:p>
        </w:tc>
      </w:tr>
      <w:tr w:rsidR="00B62A6A">
        <w:trPr>
          <w:trHeight w:val="1165"/>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一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城市居民、暂住人口、　　</w:t>
            </w:r>
          </w:p>
          <w:p w:rsidR="00B62A6A" w:rsidRDefault="00993BD7">
            <w:pPr>
              <w:widowControl/>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农村进城定居人口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元／户·月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5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trPr>
          <w:trHeight w:val="152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二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国家机关、社会团体、企事业单位、金融　　</w:t>
            </w:r>
          </w:p>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机构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元／人·月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2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单位缴纳、按单位在册人数计算（含临时工），包括中央、省、市驻沅单位。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三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经营场所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trPr>
          <w:trHeight w:val="1804"/>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饮食业、酒店行业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2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20</w:t>
            </w:r>
            <w:r>
              <w:rPr>
                <w:rFonts w:ascii="宋体" w:eastAsia="宋体" w:hAnsi="宋体" w:cs="宋体" w:hint="eastAsia"/>
                <w:color w:val="333333"/>
                <w:kern w:val="0"/>
                <w:sz w:val="24"/>
                <w:szCs w:val="24"/>
              </w:rPr>
              <w:t>㎡</w:t>
            </w:r>
            <w:r>
              <w:rPr>
                <w:rFonts w:ascii="仿宋_GB2312" w:eastAsia="仿宋_GB2312" w:hAnsi="宋体" w:cs="宋体" w:hint="eastAsia"/>
                <w:color w:val="333333"/>
                <w:kern w:val="0"/>
                <w:sz w:val="24"/>
                <w:szCs w:val="24"/>
              </w:rPr>
              <w:t>以内每平方米2元，20</w:t>
            </w:r>
            <w:r>
              <w:rPr>
                <w:rFonts w:ascii="宋体" w:eastAsia="宋体" w:hAnsi="宋体" w:cs="宋体" w:hint="eastAsia"/>
                <w:color w:val="333333"/>
                <w:kern w:val="0"/>
                <w:sz w:val="24"/>
                <w:szCs w:val="24"/>
              </w:rPr>
              <w:t>㎡</w:t>
            </w:r>
            <w:r>
              <w:rPr>
                <w:rFonts w:ascii="仿宋_GB2312" w:eastAsia="仿宋_GB2312" w:hAnsi="宋体" w:cs="宋体" w:hint="eastAsia"/>
                <w:color w:val="333333"/>
                <w:kern w:val="0"/>
                <w:sz w:val="24"/>
                <w:szCs w:val="24"/>
              </w:rPr>
              <w:t>以上每超过1</w:t>
            </w:r>
            <w:r>
              <w:rPr>
                <w:rFonts w:ascii="宋体" w:eastAsia="宋体" w:hAnsi="宋体" w:cs="宋体" w:hint="eastAsia"/>
                <w:color w:val="333333"/>
                <w:kern w:val="0"/>
                <w:sz w:val="24"/>
                <w:szCs w:val="24"/>
              </w:rPr>
              <w:t>㎡加收</w:t>
            </w:r>
            <w:r>
              <w:rPr>
                <w:rFonts w:ascii="仿宋_GB2312" w:eastAsia="仿宋_GB2312" w:hAnsi="宋体" w:cs="宋体" w:hint="eastAsia"/>
                <w:color w:val="333333"/>
                <w:kern w:val="0"/>
                <w:sz w:val="24"/>
                <w:szCs w:val="24"/>
              </w:rPr>
              <w:t xml:space="preserve">1元。包括各类中式、西式餐厅、酒家、餐馆、饮食店、饭店、茶楼、夜市、小吃店等。　　</w:t>
            </w:r>
          </w:p>
        </w:tc>
      </w:tr>
      <w:tr w:rsidR="00B62A6A">
        <w:trPr>
          <w:trHeight w:val="3272"/>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2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服务、休闲娱乐业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元／</w:t>
            </w:r>
            <w:r>
              <w:rPr>
                <w:rFonts w:ascii="宋体" w:eastAsia="宋体" w:hAnsi="宋体" w:cs="宋体" w:hint="eastAsia"/>
                <w:color w:val="333333"/>
                <w:kern w:val="0"/>
                <w:sz w:val="24"/>
                <w:szCs w:val="24"/>
              </w:rPr>
              <w:t>㎡</w:t>
            </w:r>
            <w:r>
              <w:rPr>
                <w:rFonts w:ascii="仿宋_GB2312" w:eastAsia="仿宋_GB2312" w:hAnsi="宋体" w:cs="宋体" w:hint="eastAsia"/>
                <w:color w:val="333333"/>
                <w:kern w:val="0"/>
                <w:sz w:val="24"/>
                <w:szCs w:val="24"/>
              </w:rPr>
              <w:t xml:space="preserve">·月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0.5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包括美容美发、美体、足疗、休闲、照像、浴场、夜总会、歌舞厅、卡拉OK厅、录相厅、游乐场所、保龄球馆、健美健身场所、滑冰场、镭射厅、电子游戏室、网吧、棋牌室、各种培训　　</w:t>
            </w:r>
          </w:p>
          <w:p w:rsidR="00B62A6A" w:rsidRDefault="00993BD7">
            <w:pPr>
              <w:widowControl/>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班、训练班等（具有餐饮、住宿、娱乐等多种功能的服务业按上述标准分别计收）。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3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旅店业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元／床·月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3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包括招待所、宾馆、旅馆等。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4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早市、夜市、水果、等移动摊点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元／点·天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3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5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其他流动摊点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元／点·天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2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包括蔬菜、擦皮鞋等。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6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医院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元／床·月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7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废品收购店、站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元／点·月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100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8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洗车场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元／点·天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3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trPr>
          <w:trHeight w:val="576"/>
        </w:trPr>
        <w:tc>
          <w:tcPr>
            <w:tcW w:w="8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lastRenderedPageBreak/>
              <w:t xml:space="preserve">9　　</w:t>
            </w:r>
          </w:p>
        </w:tc>
        <w:tc>
          <w:tcPr>
            <w:tcW w:w="2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综合市场（50</w:t>
            </w:r>
            <w:r>
              <w:rPr>
                <w:rFonts w:ascii="宋体" w:eastAsia="宋体" w:hAnsi="宋体" w:cs="宋体" w:hint="eastAsia"/>
                <w:color w:val="333333"/>
                <w:kern w:val="0"/>
                <w:sz w:val="24"/>
                <w:szCs w:val="24"/>
              </w:rPr>
              <w:t>㎡以上</w:t>
            </w:r>
            <w:r>
              <w:rPr>
                <w:rFonts w:ascii="仿宋_GB2312" w:eastAsia="仿宋_GB2312" w:hAnsi="宋体" w:cs="宋体" w:hint="eastAsia"/>
                <w:color w:val="333333"/>
                <w:kern w:val="0"/>
                <w:sz w:val="24"/>
                <w:szCs w:val="24"/>
              </w:rPr>
              <w:t xml:space="preserve">）　　</w:t>
            </w:r>
          </w:p>
        </w:tc>
        <w:tc>
          <w:tcPr>
            <w:tcW w:w="1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元／㎡·月　　</w:t>
            </w:r>
          </w:p>
        </w:tc>
        <w:tc>
          <w:tcPr>
            <w:tcW w:w="8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0.5　　</w:t>
            </w:r>
          </w:p>
        </w:tc>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包括超市、家具店、停车场。　　</w:t>
            </w:r>
          </w:p>
        </w:tc>
      </w:tr>
      <w:tr w:rsidR="00B62A6A" w:rsidTr="001E61BF">
        <w:trPr>
          <w:trHeight w:val="1526"/>
        </w:trPr>
        <w:tc>
          <w:tcPr>
            <w:tcW w:w="83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10　　</w:t>
            </w:r>
          </w:p>
        </w:tc>
        <w:tc>
          <w:tcPr>
            <w:tcW w:w="2487"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公共场所　　</w:t>
            </w:r>
          </w:p>
        </w:tc>
        <w:tc>
          <w:tcPr>
            <w:tcW w:w="1497"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元／㎡·月　　</w:t>
            </w:r>
          </w:p>
        </w:tc>
        <w:tc>
          <w:tcPr>
            <w:tcW w:w="85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0.4　　</w:t>
            </w:r>
          </w:p>
        </w:tc>
        <w:tc>
          <w:tcPr>
            <w:tcW w:w="3810"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包括银行、邮电、通讯、移动、电信营业厅、影剧院、车站候车室、售票厅、经营性停车场、医院门诊、学校等。　　</w:t>
            </w:r>
          </w:p>
        </w:tc>
      </w:tr>
      <w:tr w:rsidR="00B62A6A" w:rsidTr="001E61BF">
        <w:trPr>
          <w:trHeight w:val="1856"/>
        </w:trPr>
        <w:tc>
          <w:tcPr>
            <w:tcW w:w="836" w:type="dxa"/>
            <w:tcBorders>
              <w:top w:val="single" w:sz="8"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11　　</w:t>
            </w:r>
          </w:p>
        </w:tc>
        <w:tc>
          <w:tcPr>
            <w:tcW w:w="2487"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其他经营门店　　</w:t>
            </w:r>
          </w:p>
        </w:tc>
        <w:tc>
          <w:tcPr>
            <w:tcW w:w="1497" w:type="dxa"/>
            <w:tcBorders>
              <w:top w:val="single" w:sz="8"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元／㎡·月　　</w:t>
            </w:r>
          </w:p>
        </w:tc>
        <w:tc>
          <w:tcPr>
            <w:tcW w:w="859" w:type="dxa"/>
            <w:tcBorders>
              <w:top w:val="single" w:sz="8"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　　</w:t>
            </w:r>
          </w:p>
        </w:tc>
        <w:tc>
          <w:tcPr>
            <w:tcW w:w="3810" w:type="dxa"/>
            <w:tcBorders>
              <w:top w:val="single" w:sz="8" w:space="0" w:color="auto"/>
              <w:left w:val="single" w:sz="4" w:space="0" w:color="auto"/>
              <w:bottom w:val="single" w:sz="8"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包括水果店、花店、百货南杂、冷饮批发、广告制作、各类加工场所、维修店、个体诊所、农副产品批发市场等。　　</w:t>
            </w:r>
          </w:p>
        </w:tc>
      </w:tr>
      <w:tr w:rsidR="00B62A6A" w:rsidTr="001E61BF">
        <w:trPr>
          <w:trHeight w:val="576"/>
        </w:trPr>
        <w:tc>
          <w:tcPr>
            <w:tcW w:w="836"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12　　</w:t>
            </w:r>
          </w:p>
        </w:tc>
        <w:tc>
          <w:tcPr>
            <w:tcW w:w="24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农贸市场摊位　　</w:t>
            </w:r>
          </w:p>
        </w:tc>
        <w:tc>
          <w:tcPr>
            <w:tcW w:w="1497" w:type="dxa"/>
            <w:tcBorders>
              <w:top w:val="single" w:sz="8"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元／天·点　　</w:t>
            </w:r>
          </w:p>
        </w:tc>
        <w:tc>
          <w:tcPr>
            <w:tcW w:w="859" w:type="dxa"/>
            <w:tcBorders>
              <w:top w:val="single" w:sz="8"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0.4　　</w:t>
            </w:r>
          </w:p>
        </w:tc>
        <w:tc>
          <w:tcPr>
            <w:tcW w:w="381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p>
        </w:tc>
      </w:tr>
      <w:tr w:rsidR="00B62A6A" w:rsidTr="001E61BF">
        <w:trPr>
          <w:trHeight w:val="576"/>
        </w:trPr>
        <w:tc>
          <w:tcPr>
            <w:tcW w:w="836"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13　　</w:t>
            </w:r>
          </w:p>
        </w:tc>
        <w:tc>
          <w:tcPr>
            <w:tcW w:w="2487"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屠宰场　　</w:t>
            </w:r>
          </w:p>
        </w:tc>
        <w:tc>
          <w:tcPr>
            <w:tcW w:w="149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元／头　　</w:t>
            </w:r>
          </w:p>
        </w:tc>
        <w:tc>
          <w:tcPr>
            <w:tcW w:w="85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0.5　　</w:t>
            </w:r>
          </w:p>
        </w:tc>
        <w:tc>
          <w:tcPr>
            <w:tcW w:w="3810"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rsidTr="001E61BF">
        <w:trPr>
          <w:trHeight w:val="576"/>
        </w:trPr>
        <w:tc>
          <w:tcPr>
            <w:tcW w:w="836"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四　　</w:t>
            </w:r>
          </w:p>
        </w:tc>
        <w:tc>
          <w:tcPr>
            <w:tcW w:w="248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营运车辆　　</w:t>
            </w:r>
          </w:p>
        </w:tc>
        <w:tc>
          <w:tcPr>
            <w:tcW w:w="149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c>
          <w:tcPr>
            <w:tcW w:w="85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c>
          <w:tcPr>
            <w:tcW w:w="3810"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trPr>
          <w:trHeight w:val="576"/>
        </w:trPr>
        <w:tc>
          <w:tcPr>
            <w:tcW w:w="8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　　</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大客车、货运车辆、公交车　　</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元／辆·月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10　　</w:t>
            </w:r>
          </w:p>
        </w:tc>
        <w:tc>
          <w:tcPr>
            <w:tcW w:w="3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包括吊车等大型车辆　　</w:t>
            </w:r>
          </w:p>
        </w:tc>
      </w:tr>
      <w:tr w:rsidR="00B62A6A" w:rsidTr="001E61BF">
        <w:trPr>
          <w:trHeight w:val="576"/>
        </w:trPr>
        <w:tc>
          <w:tcPr>
            <w:tcW w:w="836"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2　　</w:t>
            </w:r>
          </w:p>
        </w:tc>
        <w:tc>
          <w:tcPr>
            <w:tcW w:w="2487" w:type="dxa"/>
            <w:tcBorders>
              <w:top w:val="single" w:sz="8" w:space="0" w:color="000000"/>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中巴车、的士、农用车、拖拉机、后三轮等　　</w:t>
            </w:r>
          </w:p>
        </w:tc>
        <w:tc>
          <w:tcPr>
            <w:tcW w:w="1497" w:type="dxa"/>
            <w:tcBorders>
              <w:top w:val="single" w:sz="8" w:space="0" w:color="000000"/>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元／辆·月　　</w:t>
            </w:r>
          </w:p>
        </w:tc>
        <w:tc>
          <w:tcPr>
            <w:tcW w:w="859"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5　　</w:t>
            </w:r>
          </w:p>
        </w:tc>
        <w:tc>
          <w:tcPr>
            <w:tcW w:w="3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rsidTr="001E61BF">
        <w:trPr>
          <w:trHeight w:val="576"/>
        </w:trPr>
        <w:tc>
          <w:tcPr>
            <w:tcW w:w="836"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五　　</w:t>
            </w:r>
          </w:p>
        </w:tc>
        <w:tc>
          <w:tcPr>
            <w:tcW w:w="2487" w:type="dxa"/>
            <w:tcBorders>
              <w:top w:val="single" w:sz="8" w:space="0" w:color="000000"/>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建筑垃圾及工程渣土　　</w:t>
            </w:r>
          </w:p>
        </w:tc>
        <w:tc>
          <w:tcPr>
            <w:tcW w:w="1497" w:type="dxa"/>
            <w:tcBorders>
              <w:top w:val="single" w:sz="8" w:space="0" w:color="000000"/>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c>
          <w:tcPr>
            <w:tcW w:w="859" w:type="dxa"/>
            <w:tcBorders>
              <w:top w:val="single" w:sz="8" w:space="0" w:color="000000"/>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c>
          <w:tcPr>
            <w:tcW w:w="3810"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rsidTr="001E61BF">
        <w:trPr>
          <w:trHeight w:val="576"/>
        </w:trPr>
        <w:tc>
          <w:tcPr>
            <w:tcW w:w="836" w:type="dxa"/>
            <w:tcBorders>
              <w:top w:val="single" w:sz="8" w:space="0" w:color="000000"/>
              <w:left w:val="single" w:sz="8"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　　</w:t>
            </w:r>
          </w:p>
        </w:tc>
        <w:tc>
          <w:tcPr>
            <w:tcW w:w="2487" w:type="dxa"/>
            <w:tcBorders>
              <w:top w:val="single" w:sz="8"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建筑工程　　</w:t>
            </w:r>
          </w:p>
        </w:tc>
        <w:tc>
          <w:tcPr>
            <w:tcW w:w="1497" w:type="dxa"/>
            <w:tcBorders>
              <w:top w:val="single" w:sz="8"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元／</w:t>
            </w:r>
            <w:r>
              <w:rPr>
                <w:rFonts w:ascii="宋体" w:eastAsia="宋体" w:hAnsi="宋体" w:cs="宋体" w:hint="eastAsia"/>
                <w:color w:val="333333"/>
                <w:kern w:val="0"/>
                <w:sz w:val="24"/>
                <w:szCs w:val="24"/>
              </w:rPr>
              <w:t>㎡</w:t>
            </w:r>
            <w:r>
              <w:rPr>
                <w:rFonts w:ascii="仿宋_GB2312" w:eastAsia="仿宋_GB2312" w:hAnsi="宋体" w:cs="宋体" w:hint="eastAsia"/>
                <w:color w:val="333333"/>
                <w:kern w:val="0"/>
                <w:sz w:val="24"/>
                <w:szCs w:val="24"/>
              </w:rPr>
              <w:t xml:space="preserve">　　</w:t>
            </w:r>
          </w:p>
        </w:tc>
        <w:tc>
          <w:tcPr>
            <w:tcW w:w="859" w:type="dxa"/>
            <w:tcBorders>
              <w:top w:val="single" w:sz="8"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0.8　　</w:t>
            </w:r>
          </w:p>
        </w:tc>
        <w:tc>
          <w:tcPr>
            <w:tcW w:w="3810" w:type="dxa"/>
            <w:tcBorders>
              <w:top w:val="single" w:sz="8"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按建筑面积计收。　　</w:t>
            </w:r>
          </w:p>
        </w:tc>
      </w:tr>
      <w:tr w:rsidR="00B62A6A" w:rsidTr="001E61BF">
        <w:trPr>
          <w:trHeight w:val="576"/>
        </w:trPr>
        <w:tc>
          <w:tcPr>
            <w:tcW w:w="836" w:type="dxa"/>
            <w:vMerge w:val="restart"/>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2　　</w:t>
            </w:r>
          </w:p>
        </w:tc>
        <w:tc>
          <w:tcPr>
            <w:tcW w:w="2487" w:type="dxa"/>
            <w:vMerge w:val="restart"/>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土石方工程平整场地　　</w:t>
            </w:r>
          </w:p>
        </w:tc>
        <w:tc>
          <w:tcPr>
            <w:tcW w:w="1497" w:type="dxa"/>
            <w:vMerge w:val="restart"/>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元／</w:t>
            </w:r>
            <w:r>
              <w:rPr>
                <w:rFonts w:ascii="宋体" w:eastAsia="宋体" w:hAnsi="宋体" w:cs="宋体" w:hint="eastAsia"/>
                <w:color w:val="333333"/>
                <w:kern w:val="0"/>
                <w:sz w:val="24"/>
                <w:szCs w:val="24"/>
              </w:rPr>
              <w:t>m</w:t>
            </w:r>
            <w:r>
              <w:rPr>
                <w:rFonts w:ascii="宋体" w:eastAsia="宋体" w:hAnsi="宋体" w:cs="宋体" w:hint="eastAsia"/>
                <w:color w:val="333333"/>
                <w:kern w:val="0"/>
                <w:sz w:val="24"/>
                <w:szCs w:val="24"/>
                <w:vertAlign w:val="superscript"/>
              </w:rPr>
              <w:t>3</w:t>
            </w:r>
            <w:r>
              <w:rPr>
                <w:rFonts w:ascii="仿宋_GB2312" w:eastAsia="仿宋_GB2312" w:hAnsi="宋体" w:cs="宋体" w:hint="eastAsia"/>
                <w:color w:val="333333"/>
                <w:kern w:val="0"/>
                <w:sz w:val="24"/>
                <w:szCs w:val="24"/>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3　　</w:t>
            </w:r>
          </w:p>
        </w:tc>
        <w:tc>
          <w:tcPr>
            <w:tcW w:w="3810"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只负责路面清扫保洁,不含装载运输费用。　　</w:t>
            </w:r>
          </w:p>
        </w:tc>
      </w:tr>
      <w:tr w:rsidR="00B62A6A" w:rsidTr="001E61BF">
        <w:trPr>
          <w:trHeight w:val="576"/>
        </w:trPr>
        <w:tc>
          <w:tcPr>
            <w:tcW w:w="0" w:type="auto"/>
            <w:vMerge/>
            <w:tcBorders>
              <w:top w:val="single" w:sz="8" w:space="0" w:color="000000"/>
              <w:left w:val="single" w:sz="8" w:space="0" w:color="000000"/>
              <w:bottom w:val="single" w:sz="4" w:space="0" w:color="auto"/>
              <w:right w:val="single" w:sz="4" w:space="0" w:color="auto"/>
            </w:tcBorders>
            <w:shd w:val="clear" w:color="auto" w:fill="FFFFFF"/>
            <w:vAlign w:val="center"/>
          </w:tcPr>
          <w:p w:rsidR="00B62A6A" w:rsidRDefault="00B62A6A">
            <w:pPr>
              <w:widowControl/>
              <w:jc w:val="left"/>
              <w:rPr>
                <w:rFonts w:ascii="宋体" w:eastAsia="宋体" w:hAnsi="宋体" w:cs="宋体"/>
                <w:color w:val="333333"/>
                <w:kern w:val="0"/>
                <w:sz w:val="24"/>
                <w:szCs w:val="24"/>
              </w:rPr>
            </w:pPr>
          </w:p>
        </w:tc>
        <w:tc>
          <w:tcPr>
            <w:tcW w:w="0" w:type="auto"/>
            <w:vMerge/>
            <w:tcBorders>
              <w:top w:val="single" w:sz="8" w:space="0" w:color="000000"/>
              <w:left w:val="single" w:sz="4" w:space="0" w:color="auto"/>
              <w:bottom w:val="single" w:sz="4" w:space="0" w:color="auto"/>
              <w:right w:val="single" w:sz="4" w:space="0" w:color="auto"/>
            </w:tcBorders>
            <w:shd w:val="clear" w:color="auto" w:fill="FFFFFF"/>
            <w:vAlign w:val="center"/>
          </w:tcPr>
          <w:p w:rsidR="00B62A6A" w:rsidRDefault="00B62A6A">
            <w:pPr>
              <w:widowControl/>
              <w:jc w:val="left"/>
              <w:rPr>
                <w:rFonts w:ascii="宋体" w:eastAsia="宋体" w:hAnsi="宋体" w:cs="宋体"/>
                <w:color w:val="333333"/>
                <w:kern w:val="0"/>
                <w:sz w:val="24"/>
                <w:szCs w:val="24"/>
              </w:rPr>
            </w:pPr>
          </w:p>
        </w:tc>
        <w:tc>
          <w:tcPr>
            <w:tcW w:w="0" w:type="auto"/>
            <w:vMerge/>
            <w:tcBorders>
              <w:top w:val="single" w:sz="8" w:space="0" w:color="000000"/>
              <w:left w:val="single" w:sz="4" w:space="0" w:color="auto"/>
              <w:bottom w:val="single" w:sz="4" w:space="0" w:color="auto"/>
              <w:right w:val="single" w:sz="4" w:space="0" w:color="auto"/>
            </w:tcBorders>
            <w:shd w:val="clear" w:color="auto" w:fill="FFFFFF"/>
            <w:vAlign w:val="center"/>
          </w:tcPr>
          <w:p w:rsidR="00B62A6A" w:rsidRDefault="00B62A6A">
            <w:pPr>
              <w:widowControl/>
              <w:jc w:val="left"/>
              <w:rPr>
                <w:rFonts w:ascii="宋体" w:eastAsia="宋体" w:hAnsi="宋体" w:cs="宋体"/>
                <w:color w:val="333333"/>
                <w:kern w:val="0"/>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25　　</w:t>
            </w:r>
          </w:p>
        </w:tc>
        <w:tc>
          <w:tcPr>
            <w:tcW w:w="3810"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负责路面清扫保洁、渣土装载、运输。　　</w:t>
            </w:r>
          </w:p>
        </w:tc>
      </w:tr>
      <w:tr w:rsidR="00B62A6A" w:rsidTr="001E61BF">
        <w:trPr>
          <w:trHeight w:val="857"/>
        </w:trPr>
        <w:tc>
          <w:tcPr>
            <w:tcW w:w="836" w:type="dxa"/>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3　　</w:t>
            </w:r>
          </w:p>
        </w:tc>
        <w:tc>
          <w:tcPr>
            <w:tcW w:w="2487" w:type="dxa"/>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沿街破路工程　　</w:t>
            </w:r>
          </w:p>
        </w:tc>
        <w:tc>
          <w:tcPr>
            <w:tcW w:w="1497" w:type="dxa"/>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元／</w:t>
            </w:r>
            <w:r>
              <w:rPr>
                <w:rFonts w:ascii="仿宋_GB2312" w:eastAsia="仿宋_GB2312" w:hAnsi="宋体" w:cs="宋体" w:hint="eastAsia"/>
                <w:color w:val="333333"/>
                <w:kern w:val="0"/>
                <w:sz w:val="28"/>
                <w:szCs w:val="28"/>
              </w:rPr>
              <w:t>m</w:t>
            </w:r>
            <w:r>
              <w:rPr>
                <w:rFonts w:ascii="仿宋_GB2312" w:eastAsia="仿宋_GB2312" w:hAnsi="宋体" w:cs="宋体" w:hint="eastAsia"/>
                <w:color w:val="333333"/>
                <w:kern w:val="0"/>
                <w:sz w:val="28"/>
                <w:szCs w:val="28"/>
                <w:vertAlign w:val="superscript"/>
              </w:rPr>
              <w:t>2</w:t>
            </w:r>
            <w:r>
              <w:rPr>
                <w:rFonts w:ascii="仿宋_GB2312" w:eastAsia="仿宋_GB2312" w:hAnsi="宋体" w:cs="宋体" w:hint="eastAsia"/>
                <w:color w:val="333333"/>
                <w:kern w:val="0"/>
                <w:sz w:val="24"/>
                <w:szCs w:val="24"/>
              </w:rPr>
              <w:t xml:space="preserve">　　</w:t>
            </w:r>
          </w:p>
        </w:tc>
        <w:tc>
          <w:tcPr>
            <w:tcW w:w="859" w:type="dxa"/>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3　　</w:t>
            </w:r>
          </w:p>
        </w:tc>
        <w:tc>
          <w:tcPr>
            <w:tcW w:w="3810"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r w:rsidR="00B62A6A" w:rsidTr="001E61BF">
        <w:trPr>
          <w:trHeight w:val="576"/>
        </w:trPr>
        <w:tc>
          <w:tcPr>
            <w:tcW w:w="836"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4　　</w:t>
            </w:r>
          </w:p>
        </w:tc>
        <w:tc>
          <w:tcPr>
            <w:tcW w:w="2487"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经营场所装修、维修工程　　</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1　　</w:t>
            </w:r>
          </w:p>
        </w:tc>
        <w:tc>
          <w:tcPr>
            <w:tcW w:w="3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按使用面积计收。　　</w:t>
            </w:r>
          </w:p>
        </w:tc>
      </w:tr>
      <w:tr w:rsidR="00B62A6A">
        <w:trPr>
          <w:trHeight w:val="576"/>
        </w:trPr>
        <w:tc>
          <w:tcPr>
            <w:tcW w:w="8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六　　</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自清自运至垃圾处理场　　</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元/吨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center"/>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xml:space="preserve">80　　</w:t>
            </w:r>
          </w:p>
        </w:tc>
        <w:tc>
          <w:tcPr>
            <w:tcW w:w="3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62A6A" w:rsidRDefault="00993BD7">
            <w:pPr>
              <w:widowControl/>
              <w:jc w:val="left"/>
              <w:textAlignment w:val="center"/>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Pr>
                <w:rFonts w:ascii="仿宋_GB2312" w:eastAsia="仿宋_GB2312" w:hAnsi="宋体" w:cs="宋体" w:hint="eastAsia"/>
                <w:color w:val="333333"/>
                <w:kern w:val="0"/>
                <w:sz w:val="24"/>
                <w:szCs w:val="24"/>
              </w:rPr>
              <w:t xml:space="preserve">　　</w:t>
            </w:r>
          </w:p>
        </w:tc>
      </w:tr>
    </w:tbl>
    <w:p w:rsidR="00B62A6A" w:rsidRDefault="00B62A6A">
      <w:bookmarkStart w:id="0" w:name="_GoBack"/>
      <w:bookmarkEnd w:id="0"/>
    </w:p>
    <w:sectPr w:rsidR="00B62A6A" w:rsidSect="00B62A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94" w:rsidRDefault="00E41894" w:rsidP="001E61BF">
      <w:r>
        <w:separator/>
      </w:r>
    </w:p>
  </w:endnote>
  <w:endnote w:type="continuationSeparator" w:id="0">
    <w:p w:rsidR="00E41894" w:rsidRDefault="00E41894" w:rsidP="001E6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5144"/>
      <w:docPartObj>
        <w:docPartGallery w:val="Page Numbers (Bottom of Page)"/>
        <w:docPartUnique/>
      </w:docPartObj>
    </w:sdtPr>
    <w:sdtContent>
      <w:p w:rsidR="002A0DCF" w:rsidRDefault="00B67FC6">
        <w:pPr>
          <w:pStyle w:val="a5"/>
          <w:jc w:val="right"/>
        </w:pPr>
        <w:fldSimple w:instr=" PAGE   \* MERGEFORMAT ">
          <w:r w:rsidR="004B7ACB" w:rsidRPr="004B7ACB">
            <w:rPr>
              <w:noProof/>
              <w:lang w:val="zh-CN"/>
            </w:rPr>
            <w:t>3</w:t>
          </w:r>
        </w:fldSimple>
      </w:p>
    </w:sdtContent>
  </w:sdt>
  <w:p w:rsidR="002A0DCF" w:rsidRDefault="002A0D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94" w:rsidRDefault="00E41894" w:rsidP="001E61BF">
      <w:r>
        <w:separator/>
      </w:r>
    </w:p>
  </w:footnote>
  <w:footnote w:type="continuationSeparator" w:id="0">
    <w:p w:rsidR="00E41894" w:rsidRDefault="00E41894" w:rsidP="001E61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liZjZiMjcwZjAxZmZmODFhYTRkMmU5MjBhNjhhNGYifQ=="/>
  </w:docVars>
  <w:rsids>
    <w:rsidRoot w:val="00C71736"/>
    <w:rsid w:val="00017402"/>
    <w:rsid w:val="00073ABF"/>
    <w:rsid w:val="000B7AE4"/>
    <w:rsid w:val="001759DB"/>
    <w:rsid w:val="001E61BF"/>
    <w:rsid w:val="002A0DCF"/>
    <w:rsid w:val="003B0ED5"/>
    <w:rsid w:val="004B7ACB"/>
    <w:rsid w:val="004E25EB"/>
    <w:rsid w:val="005B614A"/>
    <w:rsid w:val="006E17E4"/>
    <w:rsid w:val="007A4C91"/>
    <w:rsid w:val="007F3AF4"/>
    <w:rsid w:val="00993BD7"/>
    <w:rsid w:val="00AD385D"/>
    <w:rsid w:val="00B62A6A"/>
    <w:rsid w:val="00B67FC6"/>
    <w:rsid w:val="00BE65F8"/>
    <w:rsid w:val="00C71736"/>
    <w:rsid w:val="00CC1BF9"/>
    <w:rsid w:val="00D672E8"/>
    <w:rsid w:val="00D9432E"/>
    <w:rsid w:val="00E23203"/>
    <w:rsid w:val="00E323A1"/>
    <w:rsid w:val="00E41894"/>
    <w:rsid w:val="00EE56AE"/>
    <w:rsid w:val="00FB651D"/>
    <w:rsid w:val="1C487CFB"/>
    <w:rsid w:val="375A431C"/>
    <w:rsid w:val="787E3DBB"/>
    <w:rsid w:val="7D693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6A"/>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B62A6A"/>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B62A6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E6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61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1E61BF"/>
    <w:pPr>
      <w:tabs>
        <w:tab w:val="center" w:pos="4153"/>
        <w:tab w:val="right" w:pos="8306"/>
      </w:tabs>
      <w:snapToGrid w:val="0"/>
      <w:jc w:val="left"/>
    </w:pPr>
    <w:rPr>
      <w:sz w:val="18"/>
      <w:szCs w:val="18"/>
    </w:rPr>
  </w:style>
  <w:style w:type="character" w:customStyle="1" w:styleId="Char0">
    <w:name w:val="页脚 Char"/>
    <w:basedOn w:val="a0"/>
    <w:link w:val="a5"/>
    <w:uiPriority w:val="99"/>
    <w:rsid w:val="001E61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344</Words>
  <Characters>1963</Characters>
  <Application>Microsoft Office Word</Application>
  <DocSecurity>0</DocSecurity>
  <Lines>16</Lines>
  <Paragraphs>4</Paragraphs>
  <ScaleCrop>false</ScaleCrop>
  <Company>微软中国</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2023-05-26T02:54:00Z</cp:lastPrinted>
  <dcterms:created xsi:type="dcterms:W3CDTF">2023-05-16T00:41:00Z</dcterms:created>
  <dcterms:modified xsi:type="dcterms:W3CDTF">2023-05-26T02:58:00Z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BD81E3661410422FA2240C4AEEB649F2_13</vt:lpwstr>
  </property>
</Properties>
</file>