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line="700" w:lineRule="exact"/>
        <w:jc w:val="center"/>
        <w:rPr>
          <w:rFonts w:hint="eastAsia" w:ascii="方正小标宋_GBK" w:hAnsi="Times New Roman" w:eastAsia="方正小标宋_GBK" w:cs="华文中宋"/>
          <w:w w:val="90"/>
          <w:sz w:val="44"/>
          <w:szCs w:val="44"/>
        </w:rPr>
      </w:pPr>
      <w:r>
        <w:rPr>
          <w:rFonts w:hint="eastAsia" w:ascii="方正小标宋_GBK" w:hAnsi="Times New Roman" w:eastAsia="方正小标宋_GBK" w:cs="华文中宋"/>
          <w:w w:val="90"/>
          <w:sz w:val="44"/>
          <w:szCs w:val="44"/>
        </w:rPr>
        <w:t>沅陵县商务系统涉企行政检查事项清单</w:t>
      </w:r>
    </w:p>
    <w:tbl>
      <w:tblPr>
        <w:tblStyle w:val="3"/>
        <w:tblW w:w="14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85"/>
        <w:gridCol w:w="1417"/>
        <w:gridCol w:w="3173"/>
        <w:gridCol w:w="1417"/>
        <w:gridCol w:w="1417"/>
        <w:gridCol w:w="1417"/>
        <w:gridCol w:w="1134"/>
        <w:gridCol w:w="1417"/>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lang w:eastAsia="zh-CN"/>
              </w:rPr>
            </w:pPr>
            <w:r>
              <w:rPr>
                <w:rFonts w:hint="eastAsia" w:ascii="黑体" w:hAnsi="宋体" w:eastAsia="黑体" w:cs="黑体"/>
                <w:i w:val="0"/>
                <w:color w:val="000000"/>
                <w:kern w:val="0"/>
                <w:sz w:val="24"/>
                <w:szCs w:val="24"/>
                <w:u w:val="none"/>
                <w:lang w:val="en-US" w:eastAsia="zh-CN" w:bidi="ar"/>
              </w:rPr>
              <w:t>序号</w:t>
            </w:r>
          </w:p>
        </w:tc>
        <w:tc>
          <w:tcPr>
            <w:tcW w:w="1185"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检查事项</w:t>
            </w:r>
          </w:p>
        </w:tc>
        <w:tc>
          <w:tcPr>
            <w:tcW w:w="1417"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检查主体（实施层级）</w:t>
            </w:r>
          </w:p>
        </w:tc>
        <w:tc>
          <w:tcPr>
            <w:tcW w:w="3173"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实施依据</w:t>
            </w:r>
          </w:p>
        </w:tc>
        <w:tc>
          <w:tcPr>
            <w:tcW w:w="1417"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承办机构</w:t>
            </w:r>
          </w:p>
        </w:tc>
        <w:tc>
          <w:tcPr>
            <w:tcW w:w="1417"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检查对象</w:t>
            </w:r>
          </w:p>
        </w:tc>
        <w:tc>
          <w:tcPr>
            <w:tcW w:w="1417"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检查内容</w:t>
            </w:r>
          </w:p>
        </w:tc>
        <w:tc>
          <w:tcPr>
            <w:tcW w:w="1134"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检查</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方式</w:t>
            </w:r>
          </w:p>
        </w:tc>
        <w:tc>
          <w:tcPr>
            <w:tcW w:w="1417"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检查频次</w:t>
            </w:r>
          </w:p>
        </w:tc>
        <w:tc>
          <w:tcPr>
            <w:tcW w:w="775"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黑体" w:hAnsi="宋体" w:eastAsia="黑体" w:cs="黑体"/>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1</w:t>
            </w:r>
          </w:p>
        </w:tc>
        <w:tc>
          <w:tcPr>
            <w:tcW w:w="1185" w:type="dxa"/>
            <w:vAlign w:val="center"/>
          </w:tcPr>
          <w:p>
            <w:pPr>
              <w:keepNext w:val="0"/>
              <w:keepLines w:val="0"/>
              <w:widowControl/>
              <w:suppressLineNumbers w:val="0"/>
              <w:jc w:val="left"/>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对成品油市场实施监督检查</w:t>
            </w:r>
          </w:p>
        </w:tc>
        <w:tc>
          <w:tcPr>
            <w:tcW w:w="1417" w:type="dxa"/>
            <w:vAlign w:val="center"/>
          </w:tcPr>
          <w:p>
            <w:pPr>
              <w:keepNext w:val="0"/>
              <w:keepLines w:val="0"/>
              <w:widowControl/>
              <w:suppressLineNumbers w:val="0"/>
              <w:jc w:val="center"/>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商务部门（县级以上）</w:t>
            </w:r>
          </w:p>
        </w:tc>
        <w:tc>
          <w:tcPr>
            <w:tcW w:w="3173" w:type="dxa"/>
            <w:vAlign w:val="center"/>
          </w:tcPr>
          <w:p>
            <w:pPr>
              <w:keepNext w:val="0"/>
              <w:keepLines w:val="0"/>
              <w:widowControl/>
              <w:suppressLineNumbers w:val="0"/>
              <w:jc w:val="left"/>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商务部石油成品油流通行业管理工作指引》（五）依法依规加强监管。18.加强日常管理。指导各地市对成品油零售经营企业开展年度审查，审查情况报省级商务主管部门。做好成品油流通行业统计及报送工作，每年2月底之前按照附表2格式报送本地区成品油零售企业基本情况。开展石油成品油流通“双随机、一公开”监管，对检查中发现的违法违规行为予以查处，涉及其它部门职责的，及时通报有关部门依法依规查处。</w:t>
            </w:r>
          </w:p>
        </w:tc>
        <w:tc>
          <w:tcPr>
            <w:tcW w:w="1417" w:type="dxa"/>
            <w:vAlign w:val="center"/>
          </w:tcPr>
          <w:p>
            <w:pPr>
              <w:keepNext w:val="0"/>
              <w:keepLines w:val="0"/>
              <w:widowControl/>
              <w:suppressLineNumbers w:val="0"/>
              <w:jc w:val="left"/>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县商务局行政审批和市场秩序股</w:t>
            </w:r>
          </w:p>
        </w:tc>
        <w:tc>
          <w:tcPr>
            <w:tcW w:w="1417" w:type="dxa"/>
            <w:vAlign w:val="center"/>
          </w:tcPr>
          <w:p>
            <w:pPr>
              <w:keepNext w:val="0"/>
              <w:keepLines w:val="0"/>
              <w:widowControl/>
              <w:suppressLineNumbers w:val="0"/>
              <w:jc w:val="left"/>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全县成品油经营企业</w:t>
            </w:r>
          </w:p>
        </w:tc>
        <w:tc>
          <w:tcPr>
            <w:tcW w:w="1417" w:type="dxa"/>
            <w:vAlign w:val="center"/>
          </w:tcPr>
          <w:p>
            <w:pPr>
              <w:keepNext w:val="0"/>
              <w:keepLines w:val="0"/>
              <w:widowControl/>
              <w:suppressLineNumbers w:val="0"/>
              <w:jc w:val="left"/>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加强对本辖区成品油市场的监督检查，及时对成品油经营企业的违法违规行为进行查处。</w:t>
            </w:r>
          </w:p>
        </w:tc>
        <w:tc>
          <w:tcPr>
            <w:tcW w:w="1134" w:type="dxa"/>
            <w:vAlign w:val="center"/>
          </w:tcPr>
          <w:p>
            <w:pPr>
              <w:keepNext w:val="0"/>
              <w:keepLines w:val="0"/>
              <w:widowControl/>
              <w:suppressLineNumbers w:val="0"/>
              <w:jc w:val="left"/>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现场执法与非现场执法相结合</w:t>
            </w:r>
          </w:p>
        </w:tc>
        <w:tc>
          <w:tcPr>
            <w:tcW w:w="1417" w:type="dxa"/>
            <w:vAlign w:val="center"/>
          </w:tcPr>
          <w:p>
            <w:pPr>
              <w:keepNext w:val="0"/>
              <w:keepLines w:val="0"/>
              <w:widowControl/>
              <w:suppressLineNumbers w:val="0"/>
              <w:jc w:val="both"/>
              <w:textAlignment w:val="center"/>
              <w:rPr>
                <w:rFonts w:hint="eastAsia" w:ascii="方正小标宋_GBK" w:hAnsi="Times New Roman" w:eastAsia="方正小标宋_GBK" w:cs="华文中宋"/>
                <w:w w:val="90"/>
                <w:sz w:val="44"/>
                <w:szCs w:val="44"/>
                <w:vertAlign w:val="baseline"/>
              </w:rPr>
            </w:pPr>
            <w:r>
              <w:rPr>
                <w:rFonts w:hint="eastAsia" w:ascii="仿宋_GB2312" w:hAnsi="宋体" w:eastAsia="仿宋_GB2312" w:cs="仿宋_GB2312"/>
                <w:i w:val="0"/>
                <w:color w:val="000000"/>
                <w:kern w:val="0"/>
                <w:sz w:val="24"/>
                <w:szCs w:val="24"/>
                <w:u w:val="none"/>
                <w:lang w:val="en-US" w:eastAsia="zh-CN" w:bidi="ar"/>
              </w:rPr>
              <w:t>按本单位每年3月底前报经同级司法行政部门备案审查的涉企年度行政检查计划执行</w:t>
            </w:r>
          </w:p>
        </w:tc>
        <w:tc>
          <w:tcPr>
            <w:tcW w:w="775" w:type="dxa"/>
            <w:vAlign w:val="center"/>
          </w:tcPr>
          <w:p>
            <w:pPr>
              <w:rPr>
                <w:rFonts w:hint="eastAsia" w:ascii="方正小标宋_GBK" w:hAnsi="Times New Roman" w:eastAsia="方正小标宋_GBK" w:cs="华文中宋"/>
                <w:w w:val="90"/>
                <w:sz w:val="44"/>
                <w:szCs w:val="44"/>
                <w:vertAlign w:val="baseline"/>
              </w:rPr>
            </w:pPr>
          </w:p>
        </w:tc>
      </w:tr>
    </w:tbl>
    <w:p>
      <w:pPr>
        <w:keepNext w:val="0"/>
        <w:keepLines w:val="0"/>
        <w:pageBreakBefore w:val="0"/>
        <w:widowControl w:val="0"/>
        <w:kinsoku/>
        <w:wordWrap/>
        <w:overflowPunct/>
        <w:topLinePunct w:val="0"/>
        <w:autoSpaceDE/>
        <w:autoSpaceDN/>
        <w:adjustRightInd/>
        <w:snapToGrid/>
        <w:spacing w:line="700" w:lineRule="exact"/>
        <w:jc w:val="center"/>
        <w:rPr>
          <w:rFonts w:hint="eastAsia" w:ascii="方正小标宋_GBK" w:hAnsi="Times New Roman" w:eastAsia="方正小标宋_GBK" w:cs="华文中宋"/>
          <w:w w:val="90"/>
          <w:sz w:val="44"/>
          <w:szCs w:val="44"/>
          <w:lang w:val="en-US" w:eastAsia="zh-CN"/>
        </w:rPr>
      </w:pPr>
    </w:p>
    <w:p>
      <w:pPr>
        <w:keepNext w:val="0"/>
        <w:keepLines w:val="0"/>
        <w:pageBreakBefore w:val="0"/>
        <w:widowControl w:val="0"/>
        <w:kinsoku/>
        <w:wordWrap/>
        <w:overflowPunct/>
        <w:topLinePunct w:val="0"/>
        <w:autoSpaceDE/>
        <w:autoSpaceDN/>
        <w:adjustRightInd/>
        <w:snapToGrid/>
        <w:spacing w:line="700" w:lineRule="exact"/>
        <w:jc w:val="center"/>
        <w:rPr>
          <w:rFonts w:hint="eastAsia" w:ascii="方正小标宋_GBK" w:hAnsi="Times New Roman" w:eastAsia="方正小标宋_GBK" w:cs="华文中宋"/>
          <w:w w:val="90"/>
          <w:sz w:val="44"/>
          <w:szCs w:val="44"/>
          <w:lang w:val="en-US" w:eastAsia="zh-CN"/>
        </w:rPr>
      </w:pPr>
    </w:p>
    <w:p>
      <w:pPr>
        <w:keepNext w:val="0"/>
        <w:keepLines w:val="0"/>
        <w:pageBreakBefore w:val="0"/>
        <w:widowControl w:val="0"/>
        <w:kinsoku/>
        <w:wordWrap/>
        <w:overflowPunct/>
        <w:topLinePunct w:val="0"/>
        <w:autoSpaceDE/>
        <w:autoSpaceDN/>
        <w:adjustRightInd/>
        <w:snapToGrid/>
        <w:spacing w:line="700" w:lineRule="exact"/>
        <w:jc w:val="center"/>
        <w:rPr>
          <w:rFonts w:hint="eastAsia" w:ascii="方正小标宋_GBK" w:hAnsi="Times New Roman" w:eastAsia="方正小标宋_GBK" w:cs="华文中宋"/>
          <w:w w:val="90"/>
          <w:sz w:val="44"/>
          <w:szCs w:val="44"/>
          <w:lang w:val="en-US" w:eastAsia="zh-CN"/>
        </w:rPr>
      </w:pPr>
      <w:r>
        <w:rPr>
          <w:rFonts w:hint="eastAsia" w:ascii="方正小标宋_GBK" w:hAnsi="Times New Roman" w:eastAsia="方正小标宋_GBK" w:cs="华文中宋"/>
          <w:w w:val="90"/>
          <w:sz w:val="44"/>
          <w:szCs w:val="44"/>
          <w:lang w:val="en-US" w:eastAsia="zh-CN"/>
        </w:rPr>
        <w:t>沅陵县商务局2025年涉企行政检查计划</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90"/>
        <w:gridCol w:w="3540"/>
        <w:gridCol w:w="1215"/>
        <w:gridCol w:w="1155"/>
        <w:gridCol w:w="1095"/>
        <w:gridCol w:w="1095"/>
        <w:gridCol w:w="555"/>
        <w:gridCol w:w="1126"/>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序号</w:t>
            </w:r>
          </w:p>
        </w:tc>
        <w:tc>
          <w:tcPr>
            <w:tcW w:w="9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检查事项</w:t>
            </w:r>
          </w:p>
        </w:tc>
        <w:tc>
          <w:tcPr>
            <w:tcW w:w="3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实施依据</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具体检查对象(含数量)或</w:t>
            </w:r>
            <w:r>
              <w:rPr>
                <w:rFonts w:hint="eastAsia" w:ascii="黑体" w:hAnsi="黑体" w:eastAsia="黑体" w:cs="黑体"/>
                <w:w w:val="90"/>
                <w:sz w:val="24"/>
                <w:szCs w:val="24"/>
                <w:vertAlign w:val="baseline"/>
                <w:lang w:val="en-US" w:eastAsia="zh-CN"/>
              </w:rPr>
              <w:br w:type="textWrapping"/>
            </w:r>
            <w:r>
              <w:rPr>
                <w:rFonts w:hint="eastAsia" w:ascii="黑体" w:hAnsi="黑体" w:eastAsia="黑体" w:cs="黑体"/>
                <w:w w:val="90"/>
                <w:sz w:val="24"/>
                <w:szCs w:val="24"/>
                <w:vertAlign w:val="baseline"/>
                <w:lang w:val="en-US" w:eastAsia="zh-CN"/>
              </w:rPr>
              <w:t>“双随机”抽查对象（含总数及比例）</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检查内容（项目）</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拟实施检查时间</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检查方式</w:t>
            </w:r>
          </w:p>
        </w:tc>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年度检查频次</w:t>
            </w:r>
          </w:p>
        </w:tc>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承办机构</w:t>
            </w:r>
          </w:p>
        </w:tc>
        <w:tc>
          <w:tcPr>
            <w:tcW w:w="12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是否属跨部门联合检查（如是，需写明牵头部门和配合部门）</w:t>
            </w:r>
          </w:p>
        </w:tc>
        <w:tc>
          <w:tcPr>
            <w:tcW w:w="12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w w:val="90"/>
                <w:sz w:val="24"/>
                <w:szCs w:val="24"/>
                <w:vertAlign w:val="baseline"/>
                <w:lang w:val="en-US" w:eastAsia="zh-CN"/>
              </w:rPr>
            </w:pPr>
            <w:r>
              <w:rPr>
                <w:rFonts w:hint="eastAsia" w:ascii="黑体" w:hAnsi="黑体" w:eastAsia="黑体" w:cs="黑体"/>
                <w:w w:val="9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w:t>
            </w:r>
          </w:p>
        </w:tc>
        <w:tc>
          <w:tcPr>
            <w:tcW w:w="990"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对成品油市场实施监督检查</w:t>
            </w:r>
          </w:p>
        </w:tc>
        <w:tc>
          <w:tcPr>
            <w:tcW w:w="3540"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商务部石油成品油流通行业管理工作指引》（五）依法依规加强监管。18.加强日常管理。指导各地市对成品油零售经营企业开展年度审查，审查情况报省级商务主管部门。做好成品油流通行业统计及报送工作，每年2月底之前按照附表2格式报送本地区成品油零售企业基本情况。开展石油成品油流通“双随机、一公开”监管，对检查中发现的违法违规行为予以查处，涉及其它部门职责的，及时通报有关部门依法依规查处。</w:t>
            </w:r>
          </w:p>
        </w:tc>
        <w:tc>
          <w:tcPr>
            <w:tcW w:w="1215"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全县成品油经营企业（29家）</w:t>
            </w:r>
          </w:p>
        </w:tc>
        <w:tc>
          <w:tcPr>
            <w:tcW w:w="1155"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加强对本辖区成品油市场的监督检查，及时对成品油经营企业的违法违规行为进行查处。</w:t>
            </w:r>
          </w:p>
        </w:tc>
        <w:tc>
          <w:tcPr>
            <w:tcW w:w="1095"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3月-11月</w:t>
            </w:r>
          </w:p>
        </w:tc>
        <w:tc>
          <w:tcPr>
            <w:tcW w:w="1095"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现场检查和非现场检查相结合</w:t>
            </w:r>
          </w:p>
        </w:tc>
        <w:tc>
          <w:tcPr>
            <w:tcW w:w="555"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w:t>
            </w:r>
          </w:p>
        </w:tc>
        <w:tc>
          <w:tcPr>
            <w:tcW w:w="1126"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县商务局</w:t>
            </w:r>
          </w:p>
        </w:tc>
        <w:tc>
          <w:tcPr>
            <w:tcW w:w="1289"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县商务局牵头，县市场监管局、应急管理局、税务局、县公安局、县交通局、气象局配合。</w:t>
            </w:r>
          </w:p>
        </w:tc>
        <w:tc>
          <w:tcPr>
            <w:tcW w:w="1289"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“双随机</w:t>
            </w:r>
            <w:r>
              <w:rPr>
                <w:rFonts w:hint="eastAsia" w:ascii="仿宋_GB2312" w:hAnsi="宋体" w:eastAsia="仿宋_GB2312" w:cs="仿宋_GB2312"/>
                <w:i w:val="0"/>
                <w:color w:val="000000"/>
                <w:kern w:val="0"/>
                <w:sz w:val="24"/>
                <w:szCs w:val="24"/>
                <w:u w:val="none"/>
                <w:lang w:val="en-US" w:eastAsia="zh-CN" w:bidi="ar"/>
              </w:rPr>
              <w:t>、</w:t>
            </w:r>
            <w:bookmarkStart w:id="0" w:name="_GoBack"/>
            <w:bookmarkEnd w:id="0"/>
            <w:r>
              <w:rPr>
                <w:rFonts w:hint="default" w:ascii="仿宋_GB2312" w:hAnsi="宋体" w:eastAsia="仿宋_GB2312" w:cs="仿宋_GB2312"/>
                <w:i w:val="0"/>
                <w:color w:val="000000"/>
                <w:kern w:val="0"/>
                <w:sz w:val="24"/>
                <w:szCs w:val="24"/>
                <w:u w:val="none"/>
                <w:lang w:val="en-US" w:eastAsia="zh-CN" w:bidi="ar"/>
              </w:rPr>
              <w:t>一公开”抽查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E177C"/>
    <w:rsid w:val="2F2B194D"/>
    <w:rsid w:val="3772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2025-05-09T08:14:00Z</dcterms:created>
  <dc:creator>Administrator</dc:creator>
  <cp:lastModifiedBy>I</cp:lastModifiedBy>
  <dcterms:modified xsi:type="dcterms:W3CDTF">2025-11-24T05:43:13Z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