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AAE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exact"/>
        <w:ind w:left="0" w:right="0" w:firstLine="0"/>
        <w:jc w:val="both"/>
        <w:textAlignment w:val="auto"/>
        <w:rPr>
          <w:rFonts w:hint="eastAsia" w:ascii="仿宋_GB2312" w:hAnsi="仿宋_GB2312" w:eastAsia="仿宋_GB2312" w:cs="仿宋_GB2312"/>
          <w:sz w:val="32"/>
          <w:szCs w:val="32"/>
          <w:lang w:val="en-US" w:eastAsia="zh-CN"/>
        </w:rPr>
        <w:sectPr>
          <w:footerReference r:id="rId3" w:type="default"/>
          <w:pgSz w:w="16838" w:h="11906" w:orient="landscape"/>
          <w:pgMar w:top="1531" w:right="1701" w:bottom="1531" w:left="1417" w:header="851" w:footer="992" w:gutter="0"/>
          <w:cols w:space="0" w:num="1"/>
          <w:rtlGutter w:val="1"/>
          <w:docGrid w:type="lines" w:linePitch="312" w:charSpace="0"/>
        </w:sectPr>
      </w:pPr>
    </w:p>
    <w:p w14:paraId="3EA749C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仿宋" w:hAnsi="仿宋" w:eastAsia="仿宋" w:cs="仿宋"/>
          <w:sz w:val="32"/>
          <w:szCs w:val="32"/>
          <w:lang w:val="en-US" w:eastAsia="zh-CN"/>
        </w:rPr>
        <w:sectPr>
          <w:type w:val="continuous"/>
          <w:pgSz w:w="16838" w:h="11906" w:orient="landscape"/>
          <w:pgMar w:top="1417" w:right="1440" w:bottom="1417" w:left="1440" w:header="851" w:footer="992" w:gutter="0"/>
          <w:cols w:space="0" w:num="1"/>
          <w:rtlGutter w:val="1"/>
          <w:docGrid w:type="lines" w:linePitch="312" w:charSpace="0"/>
        </w:sectPr>
      </w:pPr>
      <w:r>
        <w:rPr>
          <w:rFonts w:hint="eastAsia" w:ascii="仿宋" w:hAnsi="仿宋" w:eastAsia="仿宋" w:cs="仿宋"/>
          <w:sz w:val="32"/>
          <w:szCs w:val="32"/>
          <w:lang w:val="en-US" w:eastAsia="zh-CN"/>
        </w:rPr>
        <w:t>附件1：</w:t>
      </w:r>
    </w:p>
    <w:p w14:paraId="69B3544F">
      <w:pPr>
        <w:keepNext w:val="0"/>
        <w:keepLines w:val="0"/>
        <w:widowControl/>
        <w:suppressLineNumbers w:val="0"/>
        <w:spacing w:afterAutospacing="0"/>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val="en-US" w:eastAsia="zh-CN"/>
        </w:rPr>
        <w:t>沅陵县</w:t>
      </w:r>
      <w:r>
        <w:rPr>
          <w:rFonts w:ascii="方正小标宋_GBK" w:hAnsi="方正小标宋_GBK" w:eastAsia="方正小标宋_GBK" w:cs="方正小标宋_GBK"/>
          <w:color w:val="000000"/>
          <w:kern w:val="0"/>
          <w:sz w:val="44"/>
          <w:szCs w:val="44"/>
          <w:lang w:val="en-US" w:eastAsia="zh-CN"/>
        </w:rPr>
        <w:t>筲箕湾</w:t>
      </w:r>
      <w:r>
        <w:rPr>
          <w:rFonts w:hint="eastAsia" w:ascii="方正小标宋_GBK" w:hAnsi="方正小标宋_GBK" w:eastAsia="方正小标宋_GBK" w:cs="方正小标宋_GBK"/>
          <w:color w:val="000000"/>
          <w:kern w:val="0"/>
          <w:sz w:val="44"/>
          <w:szCs w:val="44"/>
          <w:lang w:val="en-US" w:eastAsia="zh-CN"/>
        </w:rPr>
        <w:t>镇行政执法事项目录</w:t>
      </w:r>
    </w:p>
    <w:p w14:paraId="0409F692">
      <w:pPr>
        <w:ind w:left="-315"/>
        <w:rPr>
          <w:rFonts w:ascii="方正小标宋简体" w:hAnsi="方正小标宋简体" w:eastAsia="方正小标宋简体" w:cs="方正小标宋简体"/>
          <w:color w:val="000000"/>
          <w:kern w:val="0"/>
          <w:sz w:val="40"/>
          <w:szCs w:val="40"/>
          <w:lang w:val="en-US" w:eastAsia="zh-CN"/>
        </w:rPr>
      </w:pPr>
      <w:r>
        <w:rPr>
          <w:rFonts w:hint="eastAsia"/>
        </w:rPr>
        <w:t>填报单位（盖章）：</w:t>
      </w:r>
      <w:r>
        <w:t>筲箕湾镇人民政府</w:t>
      </w:r>
      <w:r>
        <w:rPr>
          <w:rFonts w:hint="eastAsia"/>
          <w:lang w:val="en-US" w:eastAsia="zh-CN"/>
        </w:rPr>
        <w:t xml:space="preserve">                                              </w:t>
      </w:r>
      <w:r>
        <w:rPr>
          <w:lang w:val="en-US" w:eastAsia="zh-CN"/>
        </w:rPr>
        <w:t xml:space="preserve">         </w:t>
      </w:r>
      <w:r>
        <w:rPr>
          <w:rFonts w:hint="eastAsia"/>
          <w:lang w:val="en-US" w:eastAsia="zh-CN"/>
        </w:rPr>
        <w:t xml:space="preserve">            </w:t>
      </w:r>
      <w:r>
        <w:rPr>
          <w:rFonts w:hint="eastAsia"/>
        </w:rPr>
        <w:t>联系人及联系电话：</w:t>
      </w:r>
      <w:r>
        <w:t>宋星18515395202</w:t>
      </w:r>
    </w:p>
    <w:tbl>
      <w:tblPr>
        <w:tblStyle w:val="9"/>
        <w:tblW w:w="14496"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45"/>
        <w:gridCol w:w="1788"/>
        <w:gridCol w:w="4570"/>
        <w:gridCol w:w="1156"/>
        <w:gridCol w:w="1133"/>
        <w:gridCol w:w="2072"/>
        <w:gridCol w:w="1845"/>
      </w:tblGrid>
      <w:tr w14:paraId="4745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restart"/>
            <w:vAlign w:val="center"/>
          </w:tcPr>
          <w:p w14:paraId="2382E9D0">
            <w:pPr>
              <w:keepNext w:val="0"/>
              <w:keepLines w:val="0"/>
              <w:widowControl/>
              <w:suppressLineNumbers w:val="0"/>
              <w:spacing w:line="240" w:lineRule="auto"/>
              <w:jc w:val="center"/>
              <w:rPr>
                <w:rFonts w:ascii="宋体" w:hAnsi="宋体" w:eastAsia="宋体" w:cs="宋体"/>
                <w:b w:val="0"/>
                <w:bCs w:val="0"/>
                <w:color w:val="000000"/>
                <w:kern w:val="0"/>
                <w:sz w:val="20"/>
                <w:szCs w:val="20"/>
                <w:vertAlign w:val="baseline"/>
                <w:lang w:val="en-US" w:eastAsia="zh-CN"/>
              </w:rPr>
            </w:pPr>
            <w:r>
              <w:rPr>
                <w:rFonts w:hint="eastAsia" w:ascii="黑体" w:hAnsi="宋体" w:eastAsia="黑体" w:cs="黑体"/>
                <w:b w:val="0"/>
                <w:bCs w:val="0"/>
                <w:color w:val="000000"/>
                <w:kern w:val="0"/>
                <w:sz w:val="22"/>
                <w:szCs w:val="22"/>
                <w:lang w:val="en-US" w:eastAsia="zh-CN"/>
              </w:rPr>
              <w:t>序号</w:t>
            </w:r>
          </w:p>
        </w:tc>
        <w:tc>
          <w:tcPr>
            <w:tcW w:w="1145" w:type="dxa"/>
            <w:vMerge w:val="restart"/>
            <w:vAlign w:val="center"/>
          </w:tcPr>
          <w:p w14:paraId="6D20607F">
            <w:pPr>
              <w:keepNext w:val="0"/>
              <w:keepLines w:val="0"/>
              <w:widowControl/>
              <w:suppressLineNumbers w:val="0"/>
              <w:rPr>
                <w:rFonts w:hint="eastAsia"/>
              </w:rPr>
            </w:pPr>
            <w:r>
              <w:rPr>
                <w:rFonts w:ascii="黑体" w:hAnsi="宋体" w:eastAsia="黑体" w:cs="黑体"/>
                <w:b w:val="0"/>
                <w:bCs w:val="0"/>
                <w:color w:val="000000"/>
                <w:kern w:val="0"/>
                <w:sz w:val="22"/>
                <w:szCs w:val="22"/>
                <w:lang w:val="en-US" w:eastAsia="zh-CN"/>
              </w:rPr>
              <w:t>执法</w:t>
            </w:r>
            <w:r>
              <w:rPr>
                <w:rFonts w:hint="eastAsia" w:ascii="黑体" w:hAnsi="宋体" w:eastAsia="黑体" w:cs="黑体"/>
                <w:b w:val="0"/>
                <w:bCs w:val="0"/>
                <w:color w:val="000000"/>
                <w:kern w:val="0"/>
                <w:sz w:val="22"/>
                <w:szCs w:val="22"/>
                <w:lang w:val="en-US" w:eastAsia="zh-CN"/>
              </w:rPr>
              <w:t>类别</w:t>
            </w:r>
          </w:p>
        </w:tc>
        <w:tc>
          <w:tcPr>
            <w:tcW w:w="1788" w:type="dxa"/>
            <w:vMerge w:val="restart"/>
            <w:vAlign w:val="center"/>
          </w:tcPr>
          <w:p w14:paraId="0683B086">
            <w:pPr>
              <w:keepNext w:val="0"/>
              <w:keepLines w:val="0"/>
              <w:widowControl/>
              <w:suppressLineNumbers w:val="0"/>
              <w:jc w:val="center"/>
              <w:rPr>
                <w:rFonts w:hint="eastAsia"/>
              </w:rPr>
            </w:pPr>
            <w:r>
              <w:rPr>
                <w:rFonts w:ascii="黑体" w:hAnsi="宋体" w:eastAsia="黑体" w:cs="黑体"/>
                <w:b w:val="0"/>
                <w:bCs w:val="0"/>
                <w:color w:val="000000"/>
                <w:kern w:val="0"/>
                <w:sz w:val="22"/>
                <w:szCs w:val="22"/>
                <w:lang w:val="en-US" w:eastAsia="zh-CN"/>
              </w:rPr>
              <w:t>执法事项名称</w:t>
            </w:r>
          </w:p>
        </w:tc>
        <w:tc>
          <w:tcPr>
            <w:tcW w:w="4570" w:type="dxa"/>
            <w:vMerge w:val="restart"/>
            <w:vAlign w:val="center"/>
          </w:tcPr>
          <w:p w14:paraId="327C804B">
            <w:pPr>
              <w:keepNext w:val="0"/>
              <w:keepLines w:val="0"/>
              <w:widowControl/>
              <w:suppressLineNumbers w:val="0"/>
              <w:spacing w:line="240" w:lineRule="auto"/>
              <w:jc w:val="center"/>
              <w:rPr>
                <w:rFonts w:hint="eastAsia" w:ascii="宋体" w:hAnsi="宋体" w:eastAsia="宋体" w:cs="宋体"/>
                <w:b w:val="0"/>
                <w:bCs w:val="0"/>
                <w:color w:val="000000"/>
                <w:kern w:val="0"/>
                <w:sz w:val="20"/>
                <w:szCs w:val="20"/>
                <w:vertAlign w:val="baseline"/>
                <w:lang w:val="en-US" w:eastAsia="zh-CN"/>
              </w:rPr>
            </w:pPr>
            <w:r>
              <w:rPr>
                <w:rFonts w:hint="eastAsia" w:ascii="黑体" w:hAnsi="宋体" w:eastAsia="黑体" w:cs="黑体"/>
                <w:b w:val="0"/>
                <w:bCs w:val="0"/>
                <w:color w:val="000000"/>
                <w:kern w:val="0"/>
                <w:sz w:val="22"/>
                <w:szCs w:val="22"/>
                <w:lang w:val="en-US" w:eastAsia="zh-CN"/>
              </w:rPr>
              <w:t xml:space="preserve"> </w:t>
            </w:r>
            <w:r>
              <w:rPr>
                <w:rFonts w:ascii="黑体" w:hAnsi="宋体" w:eastAsia="黑体" w:cs="黑体"/>
                <w:b w:val="0"/>
                <w:bCs w:val="0"/>
                <w:color w:val="000000"/>
                <w:kern w:val="0"/>
                <w:sz w:val="22"/>
                <w:szCs w:val="22"/>
                <w:lang w:val="en-US" w:eastAsia="zh-CN"/>
              </w:rPr>
              <w:t>执</w:t>
            </w:r>
            <w:r>
              <w:rPr>
                <w:rFonts w:hint="eastAsia" w:ascii="黑体" w:hAnsi="宋体" w:eastAsia="黑体" w:cs="黑体"/>
                <w:b w:val="0"/>
                <w:bCs w:val="0"/>
                <w:color w:val="000000"/>
                <w:kern w:val="0"/>
                <w:sz w:val="22"/>
                <w:szCs w:val="22"/>
                <w:lang w:val="en-US" w:eastAsia="zh-CN"/>
              </w:rPr>
              <w:t xml:space="preserve">  </w:t>
            </w:r>
            <w:r>
              <w:rPr>
                <w:rFonts w:ascii="黑体" w:hAnsi="宋体" w:eastAsia="黑体" w:cs="黑体"/>
                <w:b w:val="0"/>
                <w:bCs w:val="0"/>
                <w:color w:val="000000"/>
                <w:kern w:val="0"/>
                <w:sz w:val="22"/>
                <w:szCs w:val="22"/>
                <w:lang w:val="en-US" w:eastAsia="zh-CN"/>
              </w:rPr>
              <w:t>法</w:t>
            </w:r>
            <w:r>
              <w:rPr>
                <w:rFonts w:hint="eastAsia" w:ascii="黑体" w:hAnsi="宋体" w:eastAsia="黑体" w:cs="黑体"/>
                <w:b w:val="0"/>
                <w:bCs w:val="0"/>
                <w:color w:val="000000"/>
                <w:kern w:val="0"/>
                <w:sz w:val="22"/>
                <w:szCs w:val="22"/>
                <w:lang w:val="en-US" w:eastAsia="zh-CN"/>
              </w:rPr>
              <w:t xml:space="preserve">  </w:t>
            </w:r>
            <w:r>
              <w:rPr>
                <w:rFonts w:ascii="黑体" w:hAnsi="宋体" w:eastAsia="黑体" w:cs="黑体"/>
                <w:b w:val="0"/>
                <w:bCs w:val="0"/>
                <w:color w:val="000000"/>
                <w:kern w:val="0"/>
                <w:sz w:val="22"/>
                <w:szCs w:val="22"/>
                <w:lang w:val="en-US" w:eastAsia="zh-CN"/>
              </w:rPr>
              <w:t>依</w:t>
            </w:r>
            <w:r>
              <w:rPr>
                <w:rFonts w:hint="eastAsia" w:ascii="黑体" w:hAnsi="宋体" w:eastAsia="黑体" w:cs="黑体"/>
                <w:b w:val="0"/>
                <w:bCs w:val="0"/>
                <w:color w:val="000000"/>
                <w:kern w:val="0"/>
                <w:sz w:val="22"/>
                <w:szCs w:val="22"/>
                <w:lang w:val="en-US" w:eastAsia="zh-CN"/>
              </w:rPr>
              <w:t xml:space="preserve">  </w:t>
            </w:r>
            <w:r>
              <w:rPr>
                <w:rFonts w:ascii="黑体" w:hAnsi="宋体" w:eastAsia="黑体" w:cs="黑体"/>
                <w:b w:val="0"/>
                <w:bCs w:val="0"/>
                <w:color w:val="000000"/>
                <w:kern w:val="0"/>
                <w:sz w:val="22"/>
                <w:szCs w:val="22"/>
                <w:lang w:val="en-US" w:eastAsia="zh-CN"/>
              </w:rPr>
              <w:t>据</w:t>
            </w:r>
          </w:p>
        </w:tc>
        <w:tc>
          <w:tcPr>
            <w:tcW w:w="1156" w:type="dxa"/>
            <w:vMerge w:val="restart"/>
            <w:vAlign w:val="center"/>
          </w:tcPr>
          <w:p w14:paraId="27C60126">
            <w:pPr>
              <w:keepNext w:val="0"/>
              <w:keepLines w:val="0"/>
              <w:widowControl/>
              <w:suppressLineNumbers w:val="0"/>
              <w:rPr>
                <w:rFonts w:hint="eastAsia"/>
              </w:rPr>
            </w:pPr>
            <w:r>
              <w:rPr>
                <w:rFonts w:ascii="黑体" w:hAnsi="宋体" w:eastAsia="黑体" w:cs="黑体"/>
                <w:b w:val="0"/>
                <w:bCs w:val="0"/>
                <w:color w:val="000000"/>
                <w:kern w:val="0"/>
                <w:sz w:val="22"/>
                <w:szCs w:val="22"/>
                <w:lang w:val="en-US" w:eastAsia="zh-CN"/>
              </w:rPr>
              <w:t>执法主体</w:t>
            </w:r>
          </w:p>
        </w:tc>
        <w:tc>
          <w:tcPr>
            <w:tcW w:w="1133" w:type="dxa"/>
            <w:vMerge w:val="restart"/>
            <w:vAlign w:val="center"/>
          </w:tcPr>
          <w:p w14:paraId="20053A41">
            <w:pPr>
              <w:keepNext w:val="0"/>
              <w:keepLines w:val="0"/>
              <w:widowControl/>
              <w:suppressLineNumbers w:val="0"/>
              <w:rPr>
                <w:rFonts w:hint="eastAsia"/>
              </w:rPr>
            </w:pPr>
            <w:r>
              <w:rPr>
                <w:rFonts w:ascii="黑体" w:hAnsi="宋体" w:eastAsia="黑体" w:cs="黑体"/>
                <w:b w:val="0"/>
                <w:bCs w:val="0"/>
                <w:color w:val="000000"/>
                <w:kern w:val="0"/>
                <w:sz w:val="22"/>
                <w:szCs w:val="22"/>
                <w:lang w:val="en-US" w:eastAsia="zh-CN"/>
              </w:rPr>
              <w:t>承办机构</w:t>
            </w:r>
          </w:p>
        </w:tc>
        <w:tc>
          <w:tcPr>
            <w:tcW w:w="3917" w:type="dxa"/>
            <w:gridSpan w:val="2"/>
            <w:vAlign w:val="center"/>
          </w:tcPr>
          <w:p w14:paraId="17BBE606">
            <w:pPr>
              <w:keepNext w:val="0"/>
              <w:keepLines w:val="0"/>
              <w:widowControl/>
              <w:suppressLineNumbers w:val="0"/>
              <w:spacing w:line="240" w:lineRule="auto"/>
              <w:jc w:val="center"/>
              <w:rPr>
                <w:rFonts w:hint="eastAsia" w:ascii="宋体" w:hAnsi="宋体" w:eastAsia="宋体" w:cs="宋体"/>
                <w:b w:val="0"/>
                <w:bCs w:val="0"/>
                <w:color w:val="000000"/>
                <w:kern w:val="0"/>
                <w:sz w:val="20"/>
                <w:szCs w:val="20"/>
                <w:vertAlign w:val="baseline"/>
                <w:lang w:val="en-US" w:eastAsia="zh-CN"/>
              </w:rPr>
            </w:pPr>
            <w:r>
              <w:rPr>
                <w:rFonts w:ascii="黑体" w:hAnsi="宋体" w:eastAsia="黑体" w:cs="黑体"/>
                <w:b w:val="0"/>
                <w:bCs w:val="0"/>
                <w:color w:val="000000"/>
                <w:kern w:val="0"/>
                <w:sz w:val="22"/>
                <w:szCs w:val="22"/>
                <w:lang w:val="en-US" w:eastAsia="zh-CN"/>
              </w:rPr>
              <w:t>备</w:t>
            </w:r>
            <w:r>
              <w:rPr>
                <w:rFonts w:hint="eastAsia" w:ascii="黑体" w:hAnsi="宋体" w:eastAsia="黑体" w:cs="黑体"/>
                <w:b w:val="0"/>
                <w:bCs w:val="0"/>
                <w:color w:val="000000"/>
                <w:kern w:val="0"/>
                <w:sz w:val="22"/>
                <w:szCs w:val="22"/>
                <w:lang w:val="en-US" w:eastAsia="zh-CN"/>
              </w:rPr>
              <w:t xml:space="preserve">  </w:t>
            </w:r>
            <w:r>
              <w:rPr>
                <w:rFonts w:ascii="黑体" w:hAnsi="宋体" w:eastAsia="黑体" w:cs="黑体"/>
                <w:b w:val="0"/>
                <w:bCs w:val="0"/>
                <w:color w:val="000000"/>
                <w:kern w:val="0"/>
                <w:sz w:val="22"/>
                <w:szCs w:val="22"/>
                <w:lang w:val="en-US" w:eastAsia="zh-CN"/>
              </w:rPr>
              <w:t>注</w:t>
            </w:r>
          </w:p>
        </w:tc>
      </w:tr>
      <w:tr w14:paraId="7AEC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92" w:type="dxa"/>
            <w:vMerge w:val="continue"/>
            <w:vAlign w:val="center"/>
          </w:tcPr>
          <w:p w14:paraId="319F9723"/>
        </w:tc>
        <w:tc>
          <w:tcPr>
            <w:tcW w:w="1140" w:type="dxa"/>
            <w:vMerge w:val="continue"/>
            <w:vAlign w:val="center"/>
          </w:tcPr>
          <w:p w14:paraId="38103F98"/>
        </w:tc>
        <w:tc>
          <w:tcPr>
            <w:tcW w:w="1788" w:type="dxa"/>
            <w:vMerge w:val="continue"/>
            <w:vAlign w:val="center"/>
          </w:tcPr>
          <w:p w14:paraId="57F4C34F"/>
        </w:tc>
        <w:tc>
          <w:tcPr>
            <w:tcW w:w="4570" w:type="dxa"/>
            <w:vMerge w:val="continue"/>
            <w:vAlign w:val="center"/>
          </w:tcPr>
          <w:p w14:paraId="07E56F0C"/>
        </w:tc>
        <w:tc>
          <w:tcPr>
            <w:tcW w:w="1166" w:type="dxa"/>
            <w:vMerge w:val="continue"/>
            <w:vAlign w:val="center"/>
          </w:tcPr>
          <w:p w14:paraId="0BB00504"/>
        </w:tc>
        <w:tc>
          <w:tcPr>
            <w:tcW w:w="1128" w:type="dxa"/>
            <w:vMerge w:val="continue"/>
            <w:vAlign w:val="center"/>
          </w:tcPr>
          <w:p w14:paraId="1A5057B5"/>
        </w:tc>
        <w:tc>
          <w:tcPr>
            <w:tcW w:w="2072" w:type="dxa"/>
            <w:vAlign w:val="center"/>
          </w:tcPr>
          <w:p w14:paraId="6D114B54">
            <w:pPr>
              <w:keepNext w:val="0"/>
              <w:keepLines w:val="0"/>
              <w:widowControl/>
              <w:suppressLineNumbers w:val="0"/>
              <w:spacing w:line="240" w:lineRule="auto"/>
              <w:ind w:firstLine="440" w:firstLineChars="200"/>
              <w:jc w:val="both"/>
              <w:rPr>
                <w:b w:val="0"/>
                <w:bCs w:val="0"/>
              </w:rPr>
            </w:pPr>
            <w:r>
              <w:rPr>
                <w:rFonts w:ascii="黑体" w:hAnsi="宋体" w:eastAsia="黑体" w:cs="黑体"/>
                <w:b w:val="0"/>
                <w:bCs w:val="0"/>
                <w:color w:val="000000"/>
                <w:kern w:val="0"/>
                <w:sz w:val="22"/>
                <w:szCs w:val="22"/>
                <w:lang w:val="en-US" w:eastAsia="zh-CN"/>
              </w:rPr>
              <w:t>法律法规</w:t>
            </w:r>
          </w:p>
          <w:p w14:paraId="4C2402C5">
            <w:pPr>
              <w:keepNext w:val="0"/>
              <w:keepLines w:val="0"/>
              <w:widowControl/>
              <w:suppressLineNumbers w:val="0"/>
              <w:spacing w:line="240" w:lineRule="auto"/>
              <w:jc w:val="center"/>
              <w:rPr>
                <w:rFonts w:hint="eastAsia" w:ascii="宋体" w:hAnsi="宋体" w:eastAsia="宋体" w:cs="宋体"/>
                <w:b w:val="0"/>
                <w:bCs w:val="0"/>
                <w:color w:val="000000"/>
                <w:kern w:val="0"/>
                <w:sz w:val="20"/>
                <w:szCs w:val="20"/>
                <w:vertAlign w:val="baseline"/>
                <w:lang w:val="en-US" w:eastAsia="zh-CN"/>
              </w:rPr>
            </w:pPr>
            <w:r>
              <w:rPr>
                <w:rFonts w:hint="eastAsia" w:ascii="黑体" w:hAnsi="宋体" w:eastAsia="黑体" w:cs="黑体"/>
                <w:b w:val="0"/>
                <w:bCs w:val="0"/>
                <w:color w:val="000000"/>
                <w:kern w:val="0"/>
                <w:sz w:val="22"/>
                <w:szCs w:val="22"/>
                <w:lang w:val="en-US" w:eastAsia="zh-CN"/>
              </w:rPr>
              <w:t>规章授权</w:t>
            </w:r>
          </w:p>
        </w:tc>
        <w:tc>
          <w:tcPr>
            <w:tcW w:w="1845" w:type="dxa"/>
            <w:vAlign w:val="center"/>
          </w:tcPr>
          <w:p w14:paraId="22C8DAD0">
            <w:pPr>
              <w:keepNext w:val="0"/>
              <w:keepLines w:val="0"/>
              <w:widowControl/>
              <w:suppressLineNumbers w:val="0"/>
              <w:spacing w:line="240" w:lineRule="auto"/>
              <w:ind w:left="0"/>
              <w:jc w:val="center"/>
              <w:rPr>
                <w:rFonts w:ascii="黑体" w:hAnsi="宋体" w:eastAsia="黑体" w:cs="黑体"/>
                <w:b w:val="0"/>
                <w:bCs w:val="0"/>
                <w:color w:val="000000"/>
                <w:kern w:val="0"/>
                <w:sz w:val="22"/>
                <w:szCs w:val="22"/>
                <w:lang w:val="en-US" w:eastAsia="zh-CN"/>
              </w:rPr>
            </w:pPr>
            <w:r>
              <w:rPr>
                <w:rFonts w:ascii="黑体" w:hAnsi="宋体" w:eastAsia="黑体" w:cs="黑体"/>
                <w:b w:val="0"/>
                <w:bCs w:val="0"/>
                <w:color w:val="000000"/>
                <w:kern w:val="0"/>
                <w:sz w:val="22"/>
                <w:szCs w:val="22"/>
                <w:lang w:val="en-US" w:eastAsia="zh-CN"/>
              </w:rPr>
              <w:t>省政府决</w:t>
            </w:r>
          </w:p>
          <w:p w14:paraId="333566D5">
            <w:pPr>
              <w:keepNext w:val="0"/>
              <w:keepLines w:val="0"/>
              <w:widowControl/>
              <w:suppressLineNumbers w:val="0"/>
              <w:spacing w:line="240" w:lineRule="auto"/>
              <w:jc w:val="center"/>
              <w:rPr>
                <w:rFonts w:hint="eastAsia" w:ascii="宋体" w:hAnsi="宋体" w:eastAsia="宋体" w:cs="宋体"/>
                <w:b w:val="0"/>
                <w:bCs w:val="0"/>
                <w:color w:val="000000"/>
                <w:kern w:val="0"/>
                <w:sz w:val="20"/>
                <w:szCs w:val="20"/>
                <w:vertAlign w:val="baseline"/>
                <w:lang w:val="en-US" w:eastAsia="zh-CN"/>
              </w:rPr>
            </w:pPr>
            <w:r>
              <w:rPr>
                <w:rFonts w:hint="eastAsia" w:ascii="黑体" w:hAnsi="宋体" w:eastAsia="黑体" w:cs="黑体"/>
                <w:b w:val="0"/>
                <w:bCs w:val="0"/>
                <w:color w:val="000000"/>
                <w:kern w:val="0"/>
                <w:sz w:val="22"/>
                <w:szCs w:val="22"/>
                <w:lang w:val="en-US" w:eastAsia="zh-CN"/>
              </w:rPr>
              <w:t>定</w:t>
            </w:r>
            <w:r>
              <w:rPr>
                <w:rFonts w:ascii="黑体" w:hAnsi="宋体" w:eastAsia="黑体" w:cs="黑体"/>
                <w:b w:val="0"/>
                <w:bCs w:val="0"/>
                <w:color w:val="000000"/>
                <w:kern w:val="0"/>
                <w:sz w:val="22"/>
                <w:szCs w:val="22"/>
                <w:lang w:val="en-US" w:eastAsia="zh-CN"/>
              </w:rPr>
              <w:t xml:space="preserve"> </w:t>
            </w:r>
            <w:r>
              <w:rPr>
                <w:rFonts w:hint="eastAsia" w:ascii="黑体" w:hAnsi="宋体" w:eastAsia="黑体" w:cs="黑体"/>
                <w:b w:val="0"/>
                <w:bCs w:val="0"/>
                <w:color w:val="000000"/>
                <w:kern w:val="0"/>
                <w:sz w:val="22"/>
                <w:szCs w:val="22"/>
                <w:lang w:val="en-US" w:eastAsia="zh-CN"/>
              </w:rPr>
              <w:t>赋</w:t>
            </w:r>
            <w:r>
              <w:rPr>
                <w:rFonts w:ascii="黑体" w:hAnsi="宋体" w:eastAsia="黑体" w:cs="黑体"/>
                <w:b w:val="0"/>
                <w:bCs w:val="0"/>
                <w:color w:val="000000"/>
                <w:kern w:val="0"/>
                <w:sz w:val="22"/>
                <w:szCs w:val="22"/>
                <w:lang w:val="en-US" w:eastAsia="zh-CN"/>
              </w:rPr>
              <w:t xml:space="preserve"> </w:t>
            </w:r>
            <w:r>
              <w:rPr>
                <w:rFonts w:hint="eastAsia" w:ascii="黑体" w:hAnsi="宋体" w:eastAsia="黑体" w:cs="黑体"/>
                <w:b w:val="0"/>
                <w:bCs w:val="0"/>
                <w:color w:val="000000"/>
                <w:kern w:val="0"/>
                <w:sz w:val="22"/>
                <w:szCs w:val="22"/>
                <w:lang w:val="en-US" w:eastAsia="zh-CN"/>
              </w:rPr>
              <w:t>权</w:t>
            </w:r>
          </w:p>
        </w:tc>
      </w:tr>
      <w:tr w14:paraId="5FC5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3" w:hRule="atLeast"/>
        </w:trPr>
        <w:tc>
          <w:tcPr>
            <w:tcW w:w="787" w:type="dxa"/>
            <w:vAlign w:val="center"/>
          </w:tcPr>
          <w:p w14:paraId="5A712F51">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r>
              <w:rPr>
                <w:rFonts w:ascii="仿宋" w:hAnsi="仿宋" w:eastAsia="仿宋" w:cs="仿宋"/>
                <w:color w:val="000000"/>
                <w:kern w:val="0"/>
                <w:sz w:val="21"/>
                <w:szCs w:val="21"/>
                <w:vertAlign w:val="baseline"/>
                <w:lang w:val="en-US" w:eastAsia="zh-CN"/>
              </w:rPr>
              <w:t>1</w:t>
            </w:r>
          </w:p>
        </w:tc>
        <w:tc>
          <w:tcPr>
            <w:tcW w:w="1145" w:type="dxa"/>
            <w:vAlign w:val="center"/>
          </w:tcPr>
          <w:p w14:paraId="46005F91">
            <w:pPr>
              <w:keepNext w:val="0"/>
              <w:keepLines w:val="0"/>
              <w:widowControl/>
              <w:suppressLineNumbers w:val="0"/>
              <w:jc w:val="center"/>
              <w:rPr>
                <w:rFonts w:hint="eastAsia" w:ascii="仿宋" w:hAnsi="仿宋" w:eastAsia="仿宋" w:cs="仿宋"/>
                <w:color w:val="000000"/>
                <w:kern w:val="0"/>
                <w:sz w:val="21"/>
                <w:szCs w:val="21"/>
                <w:lang w:val="en-US" w:eastAsia="zh-CN"/>
              </w:rPr>
            </w:pPr>
          </w:p>
          <w:p w14:paraId="15169EE3">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行政许可</w:t>
            </w:r>
          </w:p>
          <w:p w14:paraId="7BE9BF2B">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p>
        </w:tc>
        <w:tc>
          <w:tcPr>
            <w:tcW w:w="1788" w:type="dxa"/>
            <w:vAlign w:val="center"/>
          </w:tcPr>
          <w:p w14:paraId="4E82D859">
            <w:pPr>
              <w:keepNext w:val="0"/>
              <w:keepLines w:val="0"/>
              <w:widowControl/>
              <w:suppressLineNumbers w:val="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农村村民在村庄、集镇规划区使用原有耕地、宅基地、村内空闲地建设住宅审批</w:t>
            </w:r>
          </w:p>
          <w:p w14:paraId="05792253">
            <w:pPr>
              <w:keepNext w:val="0"/>
              <w:keepLines w:val="0"/>
              <w:widowControl/>
              <w:suppressLineNumbers w:val="0"/>
              <w:jc w:val="left"/>
              <w:rPr>
                <w:rFonts w:hint="eastAsia" w:ascii="仿宋" w:hAnsi="仿宋" w:eastAsia="仿宋" w:cs="仿宋"/>
                <w:color w:val="000000"/>
                <w:kern w:val="0"/>
                <w:sz w:val="21"/>
                <w:szCs w:val="21"/>
                <w:lang w:val="en-US" w:eastAsia="zh-CN"/>
              </w:rPr>
            </w:pPr>
          </w:p>
        </w:tc>
        <w:tc>
          <w:tcPr>
            <w:tcW w:w="4570" w:type="dxa"/>
            <w:vAlign w:val="center"/>
          </w:tcPr>
          <w:p w14:paraId="454349DD">
            <w:pPr>
              <w:keepNext w:val="0"/>
              <w:keepLines w:val="0"/>
              <w:widowControl/>
              <w:suppressLineNumbers w:val="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村庄和集镇规划建设管理条例》（国务院令第116号）第十八条：农村村民在村庄、集镇规划区内建住宅的，应当先向村集体经济组织或者村民委员会提出建房申请，经村民会议讨论通过后，按照下列审批程序办理：（一）需要使用耕地的，经乡级人民政府审核、县级人民政府建设行政主管部门审查同意并出具选址意见书后，方可依照《土地管理法》向县级人民政府土地管理部门申请用地，经县级人民政府批准后，由县级人民政府土地管理部门划拨土地；（二）使用原有宅基地、村内空闲地和其他土地的，由乡级人民政府根据村庄、集镇规划和土地利用规划批准。</w:t>
            </w:r>
          </w:p>
        </w:tc>
        <w:tc>
          <w:tcPr>
            <w:tcW w:w="1156" w:type="dxa"/>
            <w:vAlign w:val="center"/>
          </w:tcPr>
          <w:p w14:paraId="7F9B689C">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579595B0">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筲箕湾镇自然资源所</w:t>
            </w:r>
          </w:p>
        </w:tc>
        <w:tc>
          <w:tcPr>
            <w:tcW w:w="2072" w:type="dxa"/>
            <w:vAlign w:val="center"/>
          </w:tcPr>
          <w:p w14:paraId="53BA4C41">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18DEDC88">
            <w:pPr>
              <w:keepNext w:val="0"/>
              <w:keepLines w:val="0"/>
              <w:widowControl/>
              <w:suppressLineNumbers w:val="0"/>
              <w:jc w:val="center"/>
              <w:rPr>
                <w:rFonts w:ascii="仿宋" w:hAnsi="仿宋" w:eastAsia="仿宋" w:cs="仿宋"/>
                <w:color w:val="000000"/>
                <w:kern w:val="0"/>
                <w:sz w:val="21"/>
                <w:szCs w:val="21"/>
                <w:highlight w:val="none"/>
                <w:lang w:val="en-US" w:eastAsia="zh-CN"/>
              </w:rPr>
            </w:pPr>
          </w:p>
        </w:tc>
      </w:tr>
      <w:tr w14:paraId="719A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787" w:type="dxa"/>
            <w:vAlign w:val="center"/>
          </w:tcPr>
          <w:p w14:paraId="3CC752D1">
            <w:pPr>
              <w:keepNext w:val="0"/>
              <w:keepLines w:val="0"/>
              <w:widowControl/>
              <w:suppressLineNumbers w:val="0"/>
              <w:jc w:val="center"/>
              <w:rPr>
                <w:rFonts w:hint="eastAsia" w:ascii="仿宋" w:hAnsi="仿宋" w:eastAsia="仿宋" w:cs="仿宋"/>
                <w:color w:val="000000"/>
                <w:kern w:val="0"/>
                <w:sz w:val="21"/>
                <w:szCs w:val="21"/>
                <w:highlight w:val="none"/>
                <w:vertAlign w:val="baseline"/>
                <w:lang w:val="en-US" w:eastAsia="zh-CN"/>
              </w:rPr>
            </w:pPr>
            <w:r>
              <w:rPr>
                <w:rFonts w:ascii="仿宋" w:hAnsi="仿宋" w:eastAsia="仿宋" w:cs="仿宋"/>
                <w:color w:val="000000"/>
                <w:kern w:val="0"/>
                <w:sz w:val="21"/>
                <w:szCs w:val="21"/>
                <w:highlight w:val="none"/>
                <w:vertAlign w:val="baseline"/>
                <w:lang w:val="en-US" w:eastAsia="zh-CN"/>
              </w:rPr>
              <w:t>2</w:t>
            </w:r>
          </w:p>
        </w:tc>
        <w:tc>
          <w:tcPr>
            <w:tcW w:w="1145" w:type="dxa"/>
            <w:vAlign w:val="center"/>
          </w:tcPr>
          <w:p w14:paraId="54782CAD">
            <w:pPr>
              <w:keepNext w:val="0"/>
              <w:keepLines w:val="0"/>
              <w:widowControl/>
              <w:suppressLineNumbers w:val="0"/>
              <w:jc w:val="center"/>
              <w:rPr>
                <w:rFonts w:hint="eastAsia" w:ascii="仿宋" w:hAnsi="仿宋" w:eastAsia="仿宋" w:cs="仿宋"/>
                <w:color w:val="000000"/>
                <w:kern w:val="0"/>
                <w:sz w:val="21"/>
                <w:szCs w:val="21"/>
                <w:highlight w:val="none"/>
                <w:lang w:val="en-US" w:eastAsia="zh-CN"/>
              </w:rPr>
            </w:pPr>
          </w:p>
          <w:p w14:paraId="1CFAA3A2">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rPr>
              <w:t>行政许可</w:t>
            </w:r>
          </w:p>
          <w:p w14:paraId="4795718F">
            <w:pPr>
              <w:keepNext w:val="0"/>
              <w:keepLines w:val="0"/>
              <w:widowControl/>
              <w:suppressLineNumbers w:val="0"/>
              <w:jc w:val="center"/>
              <w:rPr>
                <w:rFonts w:hint="eastAsia" w:ascii="仿宋" w:hAnsi="仿宋" w:eastAsia="仿宋" w:cs="仿宋"/>
                <w:color w:val="000000"/>
                <w:kern w:val="0"/>
                <w:sz w:val="21"/>
                <w:szCs w:val="21"/>
                <w:highlight w:val="none"/>
                <w:vertAlign w:val="baseline"/>
                <w:lang w:val="en-US" w:eastAsia="zh-CN"/>
              </w:rPr>
            </w:pPr>
          </w:p>
        </w:tc>
        <w:tc>
          <w:tcPr>
            <w:tcW w:w="1788" w:type="dxa"/>
            <w:vAlign w:val="center"/>
          </w:tcPr>
          <w:p w14:paraId="5C99DDE5">
            <w:pPr>
              <w:keepNext w:val="0"/>
              <w:keepLines w:val="0"/>
              <w:pageBreakBefore w:val="0"/>
              <w:widowControl/>
              <w:suppressLineNumbers w:val="0"/>
              <w:kinsoku/>
              <w:wordWrap/>
              <w:overflowPunct/>
              <w:topLinePunct w:val="0"/>
              <w:autoSpaceDE/>
              <w:autoSpaceDN/>
              <w:adjustRightInd/>
              <w:snapToGrid/>
              <w:spacing w:line="260" w:lineRule="exact"/>
              <w:rPr>
                <w:rFonts w:hint="eastAsia" w:ascii="仿宋" w:hAnsi="仿宋" w:eastAsia="仿宋" w:cs="仿宋"/>
                <w:color w:val="000000"/>
                <w:kern w:val="0"/>
                <w:sz w:val="21"/>
                <w:szCs w:val="21"/>
                <w:highlight w:val="none"/>
                <w:vertAlign w:val="baseline"/>
                <w:lang w:val="en-US" w:eastAsia="zh-CN"/>
              </w:rPr>
            </w:pPr>
            <w:r>
              <w:rPr>
                <w:rFonts w:hint="eastAsia" w:ascii="仿宋" w:hAnsi="仿宋" w:eastAsia="仿宋" w:cs="仿宋"/>
                <w:color w:val="000000"/>
                <w:kern w:val="0"/>
                <w:sz w:val="21"/>
                <w:szCs w:val="21"/>
                <w:highlight w:val="none"/>
                <w:lang w:val="en-US" w:eastAsia="zh-CN"/>
              </w:rPr>
              <w:t>在村庄、集镇规划区内的街道、广场、市场和车站等场所修建临时建筑物、构筑物和其他设施的许可</w:t>
            </w:r>
          </w:p>
        </w:tc>
        <w:tc>
          <w:tcPr>
            <w:tcW w:w="4570" w:type="dxa"/>
            <w:vAlign w:val="center"/>
          </w:tcPr>
          <w:p w14:paraId="3D66BDFC">
            <w:pPr>
              <w:keepNext w:val="0"/>
              <w:keepLines w:val="0"/>
              <w:widowControl/>
              <w:suppressLineNumbers w:val="0"/>
              <w:rPr>
                <w:rFonts w:hint="eastAsia" w:ascii="仿宋" w:hAnsi="仿宋" w:eastAsia="仿宋" w:cs="仿宋"/>
                <w:color w:val="000000"/>
                <w:kern w:val="0"/>
                <w:sz w:val="21"/>
                <w:szCs w:val="21"/>
                <w:highlight w:val="none"/>
                <w:vertAlign w:val="baseline"/>
                <w:lang w:val="en-US" w:eastAsia="zh-CN"/>
              </w:rPr>
            </w:pPr>
            <w:r>
              <w:rPr>
                <w:rFonts w:hint="eastAsia" w:ascii="仿宋" w:hAnsi="仿宋" w:eastAsia="仿宋" w:cs="仿宋"/>
                <w:color w:val="000000"/>
                <w:kern w:val="0"/>
                <w:sz w:val="21"/>
                <w:szCs w:val="21"/>
                <w:highlight w:val="none"/>
                <w:lang w:val="en-US" w:eastAsia="zh-CN"/>
              </w:rPr>
              <w:t>《村庄和集镇规划建设管理条例》(国务院令第116号)第三十二条：未经乡镇人民政府批准，任何单位和个人不得擅自在村庄、集镇规划区的街道、广场、市场和车站等场所修建临时建筑物、构筑物和其他设施。</w:t>
            </w:r>
          </w:p>
        </w:tc>
        <w:tc>
          <w:tcPr>
            <w:tcW w:w="1156" w:type="dxa"/>
            <w:vAlign w:val="center"/>
          </w:tcPr>
          <w:p w14:paraId="36D0A4B6">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13939435">
            <w:pPr>
              <w:keepNext w:val="0"/>
              <w:keepLines w:val="0"/>
              <w:widowControl/>
              <w:suppressLineNumbers w:val="0"/>
              <w:jc w:val="center"/>
              <w:rPr>
                <w:rFonts w:hint="eastAsia"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筲箕湾镇生态环境办公室</w:t>
            </w:r>
          </w:p>
        </w:tc>
        <w:tc>
          <w:tcPr>
            <w:tcW w:w="2072" w:type="dxa"/>
            <w:vAlign w:val="center"/>
          </w:tcPr>
          <w:p w14:paraId="0652DD6F">
            <w:pPr>
              <w:keepNext w:val="0"/>
              <w:keepLines w:val="0"/>
              <w:widowControl/>
              <w:suppressLineNumbers w:val="0"/>
              <w:jc w:val="center"/>
              <w:rPr>
                <w:rFonts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w:t>
            </w:r>
          </w:p>
        </w:tc>
        <w:tc>
          <w:tcPr>
            <w:tcW w:w="1845" w:type="dxa"/>
            <w:vAlign w:val="center"/>
          </w:tcPr>
          <w:p w14:paraId="29410A33">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1EF3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87" w:type="dxa"/>
            <w:vAlign w:val="center"/>
          </w:tcPr>
          <w:p w14:paraId="2C195A01">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r>
              <w:rPr>
                <w:rFonts w:hint="eastAsia" w:ascii="仿宋" w:hAnsi="仿宋" w:eastAsia="仿宋" w:cs="仿宋"/>
                <w:color w:val="000000"/>
                <w:kern w:val="0"/>
                <w:sz w:val="21"/>
                <w:szCs w:val="21"/>
                <w:vertAlign w:val="baseline"/>
                <w:lang w:val="en-US" w:eastAsia="zh-CN"/>
              </w:rPr>
              <w:t>3</w:t>
            </w:r>
          </w:p>
        </w:tc>
        <w:tc>
          <w:tcPr>
            <w:tcW w:w="1145" w:type="dxa"/>
            <w:vAlign w:val="center"/>
          </w:tcPr>
          <w:p w14:paraId="3AF6889D">
            <w:pPr>
              <w:keepNext w:val="0"/>
              <w:keepLines w:val="0"/>
              <w:widowControl/>
              <w:suppressLineNumbers w:val="0"/>
              <w:jc w:val="center"/>
              <w:rPr>
                <w:rFonts w:hint="eastAsia" w:ascii="仿宋" w:hAnsi="仿宋" w:eastAsia="仿宋" w:cs="仿宋"/>
                <w:color w:val="000000"/>
                <w:kern w:val="0"/>
                <w:sz w:val="21"/>
                <w:szCs w:val="21"/>
                <w:lang w:val="en-US" w:eastAsia="zh-CN"/>
              </w:rPr>
            </w:pPr>
          </w:p>
          <w:p w14:paraId="136D51CC">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行政许可</w:t>
            </w:r>
          </w:p>
          <w:p w14:paraId="3614C128">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p>
        </w:tc>
        <w:tc>
          <w:tcPr>
            <w:tcW w:w="1788" w:type="dxa"/>
            <w:vAlign w:val="center"/>
          </w:tcPr>
          <w:p w14:paraId="66CFC5CC">
            <w:pPr>
              <w:keepNext w:val="0"/>
              <w:keepLines w:val="0"/>
              <w:widowControl/>
              <w:suppressLineNumbers w:val="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农民集体所有的土地由本集体经济组织以外的单位或者个人承包经营审批</w:t>
            </w:r>
          </w:p>
        </w:tc>
        <w:tc>
          <w:tcPr>
            <w:tcW w:w="4570" w:type="dxa"/>
            <w:vAlign w:val="center"/>
          </w:tcPr>
          <w:p w14:paraId="56219D57">
            <w:pPr>
              <w:keepNext w:val="0"/>
              <w:keepLines w:val="0"/>
              <w:pageBreakBefore w:val="0"/>
              <w:widowControl/>
              <w:suppressLineNumbers w:val="0"/>
              <w:kinsoku/>
              <w:wordWrap/>
              <w:overflowPunct/>
              <w:topLinePunct w:val="0"/>
              <w:autoSpaceDE/>
              <w:autoSpaceDN/>
              <w:adjustRightInd/>
              <w:snapToGrid/>
              <w:spacing w:line="32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农村土地承包法》（2018年12月29日修正）第五十二条：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1156" w:type="dxa"/>
            <w:vAlign w:val="center"/>
          </w:tcPr>
          <w:p w14:paraId="79AEB000">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73296C23">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筲箕湾镇农业综合服务中心</w:t>
            </w:r>
          </w:p>
        </w:tc>
        <w:tc>
          <w:tcPr>
            <w:tcW w:w="2072" w:type="dxa"/>
            <w:vAlign w:val="center"/>
          </w:tcPr>
          <w:p w14:paraId="54BD7ECD">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656EEBC6">
            <w:pPr>
              <w:keepNext w:val="0"/>
              <w:keepLines w:val="0"/>
              <w:widowControl/>
              <w:suppressLineNumbers w:val="0"/>
              <w:jc w:val="left"/>
              <w:rPr>
                <w:rFonts w:ascii="仿宋" w:hAnsi="仿宋" w:eastAsia="仿宋" w:cs="仿宋"/>
                <w:color w:val="000000"/>
                <w:kern w:val="0"/>
                <w:sz w:val="21"/>
                <w:szCs w:val="21"/>
                <w:lang w:val="en-US" w:eastAsia="zh-CN"/>
              </w:rPr>
            </w:pPr>
          </w:p>
        </w:tc>
      </w:tr>
      <w:tr w14:paraId="4FA9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787" w:type="dxa"/>
            <w:vAlign w:val="center"/>
          </w:tcPr>
          <w:p w14:paraId="6BADE49A">
            <w:pPr>
              <w:keepNext w:val="0"/>
              <w:keepLines w:val="0"/>
              <w:widowControl/>
              <w:suppressLineNumbers w:val="0"/>
              <w:jc w:val="center"/>
              <w:rPr>
                <w:rFonts w:ascii="仿宋" w:hAnsi="仿宋" w:eastAsia="仿宋" w:cs="仿宋"/>
                <w:color w:val="000000"/>
                <w:kern w:val="0"/>
                <w:sz w:val="21"/>
                <w:szCs w:val="21"/>
                <w:vertAlign w:val="baseline"/>
                <w:lang w:val="en-US" w:eastAsia="zh-CN"/>
              </w:rPr>
            </w:pPr>
            <w:r>
              <w:rPr>
                <w:rFonts w:hint="eastAsia" w:ascii="仿宋" w:hAnsi="仿宋" w:eastAsia="仿宋" w:cs="仿宋"/>
                <w:color w:val="000000"/>
                <w:kern w:val="0"/>
                <w:sz w:val="21"/>
                <w:szCs w:val="21"/>
                <w:vertAlign w:val="baseline"/>
                <w:lang w:val="en-US" w:eastAsia="zh-CN"/>
              </w:rPr>
              <w:t>4</w:t>
            </w:r>
          </w:p>
        </w:tc>
        <w:tc>
          <w:tcPr>
            <w:tcW w:w="1145" w:type="dxa"/>
            <w:vAlign w:val="center"/>
          </w:tcPr>
          <w:p w14:paraId="699A4E6F">
            <w:pPr>
              <w:keepNext w:val="0"/>
              <w:keepLines w:val="0"/>
              <w:widowControl/>
              <w:suppressLineNumbers w:val="0"/>
              <w:jc w:val="center"/>
              <w:rPr>
                <w:rFonts w:hint="eastAsia" w:ascii="仿宋" w:hAnsi="仿宋" w:eastAsia="仿宋" w:cs="仿宋"/>
                <w:color w:val="000000"/>
                <w:kern w:val="0"/>
                <w:sz w:val="21"/>
                <w:szCs w:val="21"/>
                <w:lang w:val="en-US" w:eastAsia="zh-CN"/>
              </w:rPr>
            </w:pPr>
          </w:p>
          <w:p w14:paraId="0EB4360D">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行政许可</w:t>
            </w:r>
          </w:p>
          <w:p w14:paraId="17C8390F">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p>
        </w:tc>
        <w:tc>
          <w:tcPr>
            <w:tcW w:w="1788" w:type="dxa"/>
            <w:vAlign w:val="center"/>
          </w:tcPr>
          <w:p w14:paraId="28B01024">
            <w:pPr>
              <w:keepNext w:val="0"/>
              <w:keepLines w:val="0"/>
              <w:pageBreakBefore w:val="0"/>
              <w:widowControl/>
              <w:suppressLineNumbers w:val="0"/>
              <w:kinsoku/>
              <w:wordWrap/>
              <w:overflowPunct/>
              <w:topLinePunct w:val="0"/>
              <w:autoSpaceDE/>
              <w:autoSpaceDN/>
              <w:adjustRightInd/>
              <w:snapToGrid/>
              <w:spacing w:line="32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五保对象入农村敬老院的批准</w:t>
            </w:r>
          </w:p>
        </w:tc>
        <w:tc>
          <w:tcPr>
            <w:tcW w:w="4570" w:type="dxa"/>
            <w:vAlign w:val="center"/>
          </w:tcPr>
          <w:p w14:paraId="465362D6">
            <w:pPr>
              <w:keepNext w:val="0"/>
              <w:keepLines w:val="0"/>
              <w:pageBreakBefore w:val="0"/>
              <w:widowControl/>
              <w:suppressLineNumbers w:val="0"/>
              <w:kinsoku/>
              <w:wordWrap/>
              <w:overflowPunct/>
              <w:topLinePunct w:val="0"/>
              <w:autoSpaceDE/>
              <w:autoSpaceDN/>
              <w:adjustRightInd/>
              <w:snapToGrid/>
              <w:spacing w:line="32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《农村五保供养工作条例》（国务院令第456号）第三条：乡、民族乡、镇人民政府管理本行政区域内的农村五保供养工作。</w:t>
            </w:r>
          </w:p>
        </w:tc>
        <w:tc>
          <w:tcPr>
            <w:tcW w:w="1156" w:type="dxa"/>
            <w:vAlign w:val="center"/>
          </w:tcPr>
          <w:p w14:paraId="1E70FE2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7CBB25F7">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筲箕湾镇社会事务综合服务中心</w:t>
            </w:r>
          </w:p>
        </w:tc>
        <w:tc>
          <w:tcPr>
            <w:tcW w:w="2072" w:type="dxa"/>
            <w:vAlign w:val="center"/>
          </w:tcPr>
          <w:p w14:paraId="7DD3A046">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0AFBA7F0">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016A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787" w:type="dxa"/>
            <w:vAlign w:val="center"/>
          </w:tcPr>
          <w:p w14:paraId="6055C2BF">
            <w:pPr>
              <w:keepNext w:val="0"/>
              <w:keepLines w:val="0"/>
              <w:widowControl/>
              <w:suppressLineNumbers w:val="0"/>
              <w:jc w:val="center"/>
              <w:rPr>
                <w:rFonts w:ascii="仿宋" w:hAnsi="仿宋" w:eastAsia="仿宋" w:cs="仿宋"/>
                <w:color w:val="000000"/>
                <w:kern w:val="0"/>
                <w:sz w:val="21"/>
                <w:szCs w:val="21"/>
                <w:vertAlign w:val="baseline"/>
                <w:lang w:val="en-US" w:eastAsia="zh-CN"/>
              </w:rPr>
            </w:pPr>
            <w:r>
              <w:rPr>
                <w:rFonts w:hint="eastAsia" w:ascii="仿宋" w:hAnsi="仿宋" w:eastAsia="仿宋" w:cs="仿宋"/>
                <w:color w:val="000000"/>
                <w:kern w:val="0"/>
                <w:sz w:val="21"/>
                <w:szCs w:val="21"/>
                <w:vertAlign w:val="baseline"/>
                <w:lang w:val="en-US" w:eastAsia="zh-CN"/>
              </w:rPr>
              <w:t>5</w:t>
            </w:r>
          </w:p>
        </w:tc>
        <w:tc>
          <w:tcPr>
            <w:tcW w:w="1145" w:type="dxa"/>
            <w:vAlign w:val="center"/>
          </w:tcPr>
          <w:p w14:paraId="50CAB48E">
            <w:pPr>
              <w:keepNext w:val="0"/>
              <w:keepLines w:val="0"/>
              <w:widowControl/>
              <w:suppressLineNumbers w:val="0"/>
              <w:jc w:val="center"/>
              <w:rPr>
                <w:rFonts w:hint="eastAsia" w:ascii="仿宋" w:hAnsi="仿宋" w:eastAsia="仿宋" w:cs="仿宋"/>
                <w:color w:val="000000"/>
                <w:kern w:val="0"/>
                <w:sz w:val="21"/>
                <w:szCs w:val="21"/>
                <w:lang w:val="en-US" w:eastAsia="zh-CN"/>
              </w:rPr>
            </w:pPr>
          </w:p>
          <w:p w14:paraId="7593C941">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行政许可</w:t>
            </w:r>
          </w:p>
          <w:p w14:paraId="7D432401">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p>
        </w:tc>
        <w:tc>
          <w:tcPr>
            <w:tcW w:w="1788" w:type="dxa"/>
            <w:vAlign w:val="center"/>
          </w:tcPr>
          <w:p w14:paraId="75D591B5">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适龄儿童、少年因身体状况需要延缓入学或者休学审批</w:t>
            </w:r>
          </w:p>
        </w:tc>
        <w:tc>
          <w:tcPr>
            <w:tcW w:w="4570" w:type="dxa"/>
            <w:vAlign w:val="center"/>
          </w:tcPr>
          <w:p w14:paraId="16997A54">
            <w:pPr>
              <w:keepNext w:val="0"/>
              <w:keepLines w:val="0"/>
              <w:widowControl/>
              <w:suppressLineNumbers w:val="0"/>
              <w:jc w:val="left"/>
              <w:rPr>
                <w:rFonts w:hint="eastAsia" w:ascii="仿宋" w:hAnsi="仿宋" w:eastAsia="仿宋" w:cs="仿宋"/>
                <w:color w:val="000000"/>
                <w:kern w:val="0"/>
                <w:sz w:val="21"/>
                <w:szCs w:val="21"/>
                <w:vertAlign w:val="baseline"/>
                <w:lang w:val="en-US" w:eastAsia="zh-CN"/>
              </w:rPr>
            </w:pPr>
            <w:r>
              <w:rPr>
                <w:rFonts w:hint="eastAsia" w:ascii="仿宋" w:hAnsi="仿宋" w:eastAsia="仿宋" w:cs="仿宋"/>
                <w:color w:val="000000"/>
                <w:kern w:val="0"/>
                <w:sz w:val="21"/>
                <w:szCs w:val="21"/>
                <w:lang w:val="en-US" w:eastAsia="zh-CN"/>
              </w:rPr>
              <w:t>《中华人民共和国义务教育法》(2018年12月29日修正)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c>
          <w:tcPr>
            <w:tcW w:w="1156" w:type="dxa"/>
            <w:vAlign w:val="center"/>
          </w:tcPr>
          <w:p w14:paraId="09255A21">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4709068B">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2072" w:type="dxa"/>
            <w:vAlign w:val="center"/>
          </w:tcPr>
          <w:p w14:paraId="5D5997F2">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34A05920">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7207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787" w:type="dxa"/>
            <w:vAlign w:val="center"/>
          </w:tcPr>
          <w:p w14:paraId="56B4839B">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lang w:val="en-US" w:eastAsia="zh-CN"/>
              </w:rPr>
              <w:t>6</w:t>
            </w:r>
          </w:p>
        </w:tc>
        <w:tc>
          <w:tcPr>
            <w:tcW w:w="1145" w:type="dxa"/>
            <w:vAlign w:val="center"/>
          </w:tcPr>
          <w:p w14:paraId="228BDA5A">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1C6D5F5F">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损坏村庄和集镇的房屋、公共设施，破坏村容镇貌和环境卫生的处罚</w:t>
            </w:r>
          </w:p>
        </w:tc>
        <w:tc>
          <w:tcPr>
            <w:tcW w:w="4570" w:type="dxa"/>
            <w:vAlign w:val="center"/>
          </w:tcPr>
          <w:p w14:paraId="4FCD36C4">
            <w:pPr>
              <w:keepNext w:val="0"/>
              <w:keepLines w:val="0"/>
              <w:widowControl/>
              <w:suppressLineNumbers w:val="0"/>
              <w:jc w:val="left"/>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村庄和集镇规划建设管理条例》（国务院令第116号）第三十九条：有下列行为之一的，由乡级人民政府责令停止侵害，可以处以罚款；造成损失的，并应当赔偿：（一）损坏村庄和集镇的房屋、公共设施的；（二）乱堆粪便、垃圾、柴草，破坏村容镇貌和环境卫生的。</w:t>
            </w:r>
          </w:p>
        </w:tc>
        <w:tc>
          <w:tcPr>
            <w:tcW w:w="1156" w:type="dxa"/>
            <w:vAlign w:val="center"/>
          </w:tcPr>
          <w:p w14:paraId="0F1DB6E9">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08DA65E7">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rPr>
            </w:pPr>
            <w:r>
              <w:rPr>
                <w:rFonts w:ascii="宋体" w:hAnsi="宋体" w:eastAsia="宋体" w:cs="宋体"/>
                <w:color w:val="000000"/>
                <w:kern w:val="0"/>
                <w:sz w:val="20"/>
                <w:szCs w:val="20"/>
                <w:vertAlign w:val="baseline"/>
                <w:lang w:val="en-US" w:eastAsia="zh-CN"/>
              </w:rPr>
              <w:t>筲箕湾镇综合行政执法大队</w:t>
            </w:r>
          </w:p>
        </w:tc>
        <w:tc>
          <w:tcPr>
            <w:tcW w:w="2072" w:type="dxa"/>
            <w:vAlign w:val="center"/>
          </w:tcPr>
          <w:p w14:paraId="496DFF30">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5FE47A5A">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125C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787" w:type="dxa"/>
            <w:vAlign w:val="center"/>
          </w:tcPr>
          <w:p w14:paraId="19DCC34A">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7</w:t>
            </w:r>
          </w:p>
        </w:tc>
        <w:tc>
          <w:tcPr>
            <w:tcW w:w="1145" w:type="dxa"/>
            <w:vAlign w:val="center"/>
          </w:tcPr>
          <w:p w14:paraId="16D76136">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72272F4B">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对擅自在村庄、集镇规划区内的街道、广场、市场和车站等场所修建临时建筑物、构筑物和其他设施的处罚</w:t>
            </w:r>
          </w:p>
        </w:tc>
        <w:tc>
          <w:tcPr>
            <w:tcW w:w="4570" w:type="dxa"/>
            <w:vAlign w:val="center"/>
          </w:tcPr>
          <w:p w14:paraId="61775919">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村庄和集镇规划建设管理条例》（国务院令第116号）第四十条：擅自在村庄、集镇规划区内的街道、广场、市场和车站等场所修建临时建筑物、构筑物和其他设施的，由乡级人民政府责令限期拆除，并可处以罚款。</w:t>
            </w:r>
          </w:p>
        </w:tc>
        <w:tc>
          <w:tcPr>
            <w:tcW w:w="1156" w:type="dxa"/>
            <w:vAlign w:val="center"/>
          </w:tcPr>
          <w:p w14:paraId="2F594238">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7D4F584E">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宋体" w:hAnsi="宋体" w:eastAsia="宋体" w:cs="宋体"/>
                <w:color w:val="000000"/>
                <w:kern w:val="0"/>
                <w:sz w:val="20"/>
                <w:szCs w:val="20"/>
                <w:vertAlign w:val="baseline"/>
                <w:lang w:val="en-US" w:eastAsia="zh-CN"/>
              </w:rPr>
              <w:t>筲箕湾镇综合行政执法大队</w:t>
            </w:r>
          </w:p>
        </w:tc>
        <w:tc>
          <w:tcPr>
            <w:tcW w:w="2072" w:type="dxa"/>
            <w:vAlign w:val="center"/>
          </w:tcPr>
          <w:p w14:paraId="02ACAC4D">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58ED6C4F">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3A62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4" w:hRule="atLeast"/>
        </w:trPr>
        <w:tc>
          <w:tcPr>
            <w:tcW w:w="787" w:type="dxa"/>
            <w:vAlign w:val="center"/>
          </w:tcPr>
          <w:p w14:paraId="67901EBC">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8</w:t>
            </w:r>
          </w:p>
        </w:tc>
        <w:tc>
          <w:tcPr>
            <w:tcW w:w="1145" w:type="dxa"/>
            <w:vAlign w:val="center"/>
          </w:tcPr>
          <w:p w14:paraId="16EEFF22">
            <w:pPr>
              <w:keepNext w:val="0"/>
              <w:keepLines w:val="0"/>
              <w:widowControl/>
              <w:suppressLineNumbers w:val="0"/>
              <w:ind w:left="0" w:firstLine="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3F70C1DE">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对农村居民未经批准或者违反规划的规定建住宅的处罚</w:t>
            </w:r>
          </w:p>
        </w:tc>
        <w:tc>
          <w:tcPr>
            <w:tcW w:w="4570" w:type="dxa"/>
            <w:vAlign w:val="center"/>
          </w:tcPr>
          <w:p w14:paraId="77B658A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村庄和集镇规划建设管理条例》（国务院令第116号）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w:t>
            </w:r>
            <w:r>
              <w:rPr>
                <w:rFonts w:hint="eastAsia" w:ascii="仿宋" w:hAnsi="仿宋" w:eastAsia="仿宋" w:cs="仿宋"/>
                <w:color w:val="000000"/>
                <w:spacing w:val="-6"/>
                <w:kern w:val="0"/>
                <w:sz w:val="21"/>
                <w:szCs w:val="21"/>
                <w:lang w:val="en-US" w:eastAsia="zh-CN"/>
              </w:rPr>
              <w:t>住宅的，乡级人民政府可以依照前款规定</w:t>
            </w:r>
            <w:r>
              <w:rPr>
                <w:rFonts w:hint="eastAsia" w:ascii="仿宋" w:hAnsi="仿宋" w:eastAsia="仿宋" w:cs="仿宋"/>
                <w:color w:val="000000"/>
                <w:kern w:val="0"/>
                <w:sz w:val="21"/>
                <w:szCs w:val="21"/>
                <w:lang w:val="en-US" w:eastAsia="zh-CN"/>
              </w:rPr>
              <w:t>处罚。</w:t>
            </w:r>
          </w:p>
        </w:tc>
        <w:tc>
          <w:tcPr>
            <w:tcW w:w="1156" w:type="dxa"/>
            <w:vAlign w:val="center"/>
          </w:tcPr>
          <w:p w14:paraId="08962167">
            <w:pPr>
              <w:keepNext w:val="0"/>
              <w:keepLines w:val="0"/>
              <w:widowControl/>
              <w:suppressLineNumbers w:val="0"/>
              <w:ind w:left="0" w:firstLine="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4467C70A">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宋体" w:hAnsi="宋体" w:eastAsia="宋体" w:cs="宋体"/>
                <w:color w:val="000000"/>
                <w:kern w:val="0"/>
                <w:sz w:val="20"/>
                <w:szCs w:val="20"/>
                <w:vertAlign w:val="baseline"/>
                <w:lang w:val="en-US" w:eastAsia="zh-CN"/>
              </w:rPr>
              <w:t>筲箕湾镇综合行政执法大队</w:t>
            </w:r>
          </w:p>
        </w:tc>
        <w:tc>
          <w:tcPr>
            <w:tcW w:w="2072" w:type="dxa"/>
            <w:vAlign w:val="center"/>
          </w:tcPr>
          <w:p w14:paraId="02516811">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270DDEF2">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3682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trPr>
        <w:tc>
          <w:tcPr>
            <w:tcW w:w="787" w:type="dxa"/>
            <w:vAlign w:val="center"/>
          </w:tcPr>
          <w:p w14:paraId="4A329EAB">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9</w:t>
            </w:r>
          </w:p>
        </w:tc>
        <w:tc>
          <w:tcPr>
            <w:tcW w:w="1145" w:type="dxa"/>
            <w:vAlign w:val="center"/>
          </w:tcPr>
          <w:p w14:paraId="7C7365B3">
            <w:pPr>
              <w:keepNext w:val="0"/>
              <w:keepLines w:val="0"/>
              <w:widowControl/>
              <w:suppressLineNumbers w:val="0"/>
              <w:ind w:left="0" w:firstLine="0"/>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6F05381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对食品摊贩违法行为的处罚</w:t>
            </w:r>
          </w:p>
        </w:tc>
        <w:tc>
          <w:tcPr>
            <w:tcW w:w="4570" w:type="dxa"/>
            <w:vAlign w:val="center"/>
          </w:tcPr>
          <w:p w14:paraId="078B372B">
            <w:pPr>
              <w:keepNext w:val="0"/>
              <w:keepLines w:val="0"/>
              <w:pageBreakBefore w:val="0"/>
              <w:widowControl/>
              <w:suppressLineNumbers w:val="0"/>
              <w:kinsoku/>
              <w:wordWrap/>
              <w:overflowPunct/>
              <w:topLinePunct w:val="0"/>
              <w:autoSpaceDE/>
              <w:autoSpaceDN/>
              <w:adjustRightInd/>
              <w:snapToGrid/>
              <w:spacing w:line="24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《湖南省食品生产加工小作坊小餐饮和食品摊贩管理条例》( 2024年9月26日湖南省第十四 届人民代表大会常务委员会第十二次会议修订)第三十二条 小作坊、小餐饮违反本条例第十一条第一款、第十九条第一款规定的，由县级以上人民政府市场监督管理部门责令改正；拒不改正的，给予警告。食品摊贩违反本条例第二十五条第一款规定的，由乡镇人民政府或者街道办事处责令改正；拒不改正的，给予警告。第三十八条 食品摊贩违反本条例 第二十三条第一款规定，未在规定区域和时段经营的，由城市管理部门按照城市管理相关 规定给予处罚。食品摊贩违反本条例第二十五条第二款、第二十七条规定的，由乡镇人民政府或者街道办事处责令改正；拒不改正的，处一百元以上五百元以下罚款。食品摊贩违 反本条例第二十六条规定的，由乡镇人民政府或者街道办事处责令改正；拒不改正的，没 收违法所得和违法经营的食品，可以没收用于违法经营的工具、设备、原料等物品，处三百元以上三千元以下罚款。</w:t>
            </w:r>
          </w:p>
        </w:tc>
        <w:tc>
          <w:tcPr>
            <w:tcW w:w="1156" w:type="dxa"/>
            <w:vAlign w:val="center"/>
          </w:tcPr>
          <w:p w14:paraId="21BD0E52">
            <w:pPr>
              <w:keepNext w:val="0"/>
              <w:keepLines w:val="0"/>
              <w:widowControl/>
              <w:suppressLineNumbers w:val="0"/>
              <w:ind w:left="0" w:firstLine="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53C923AB">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宋体" w:hAnsi="宋体" w:eastAsia="宋体" w:cs="宋体"/>
                <w:color w:val="000000"/>
                <w:kern w:val="0"/>
                <w:sz w:val="20"/>
                <w:szCs w:val="20"/>
                <w:vertAlign w:val="baseline"/>
                <w:lang w:val="en-US" w:eastAsia="zh-CN"/>
              </w:rPr>
              <w:t>筲箕湾镇综合行政执法大队</w:t>
            </w:r>
          </w:p>
        </w:tc>
        <w:tc>
          <w:tcPr>
            <w:tcW w:w="2072" w:type="dxa"/>
            <w:vAlign w:val="center"/>
          </w:tcPr>
          <w:p w14:paraId="14B57A0F">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1A0933D8">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1E3E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787" w:type="dxa"/>
            <w:vAlign w:val="center"/>
          </w:tcPr>
          <w:p w14:paraId="4ADE5F6B">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10</w:t>
            </w:r>
          </w:p>
        </w:tc>
        <w:tc>
          <w:tcPr>
            <w:tcW w:w="1145" w:type="dxa"/>
            <w:vAlign w:val="center"/>
          </w:tcPr>
          <w:p w14:paraId="40E6667C">
            <w:pPr>
              <w:keepNext w:val="0"/>
              <w:keepLines w:val="0"/>
              <w:widowControl/>
              <w:suppressLineNumbers w:val="0"/>
              <w:ind w:left="0" w:firstLine="0"/>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03D132FA">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对未依法委托房屋安全鉴定机构进行安全鉴定的行政处罚</w:t>
            </w:r>
          </w:p>
        </w:tc>
        <w:tc>
          <w:tcPr>
            <w:tcW w:w="4570" w:type="dxa"/>
            <w:vAlign w:val="center"/>
          </w:tcPr>
          <w:p w14:paraId="00189536">
            <w:pPr>
              <w:keepNext w:val="0"/>
              <w:keepLines w:val="0"/>
              <w:pageBreakBefore w:val="0"/>
              <w:widowControl/>
              <w:suppressLineNumbers w:val="0"/>
              <w:kinsoku/>
              <w:wordWrap/>
              <w:overflowPunct/>
              <w:topLinePunct w:val="0"/>
              <w:autoSpaceDE/>
              <w:autoSpaceDN/>
              <w:adjustRightInd/>
              <w:snapToGrid/>
              <w:spacing w:line="26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居民自建房安全管理若干规定》（2022年11月23日湖南省第十三届人民代表大会常务委员会第三十四次会议通过）第十七条房屋使用安全责任人违反本规定第七条，未依法委托房屋安全鉴定机构进行安全鉴定的，由县级人民政府住房城乡建设主管部门或者乡镇人民政府处五千元以上一万元以下罚款；情节严重的，处一万元以上五万元以下罚款。</w:t>
            </w:r>
          </w:p>
        </w:tc>
        <w:tc>
          <w:tcPr>
            <w:tcW w:w="1156" w:type="dxa"/>
            <w:vAlign w:val="center"/>
          </w:tcPr>
          <w:p w14:paraId="060CDC77">
            <w:pPr>
              <w:keepNext w:val="0"/>
              <w:keepLines w:val="0"/>
              <w:widowControl/>
              <w:suppressLineNumbers w:val="0"/>
              <w:ind w:left="0" w:firstLine="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7597AB10">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宋体" w:hAnsi="宋体" w:eastAsia="宋体" w:cs="宋体"/>
                <w:color w:val="000000"/>
                <w:kern w:val="0"/>
                <w:sz w:val="20"/>
                <w:szCs w:val="20"/>
                <w:vertAlign w:val="baseline"/>
                <w:lang w:val="en-US" w:eastAsia="zh-CN"/>
              </w:rPr>
              <w:t>筲箕湾镇综合行政执法大队</w:t>
            </w:r>
          </w:p>
        </w:tc>
        <w:tc>
          <w:tcPr>
            <w:tcW w:w="2072" w:type="dxa"/>
            <w:vAlign w:val="center"/>
          </w:tcPr>
          <w:p w14:paraId="6AF6FBC0">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0FE58E2A">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0127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787" w:type="dxa"/>
            <w:vAlign w:val="center"/>
          </w:tcPr>
          <w:p w14:paraId="6E59A64A">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11</w:t>
            </w:r>
          </w:p>
        </w:tc>
        <w:tc>
          <w:tcPr>
            <w:tcW w:w="1145" w:type="dxa"/>
            <w:vAlign w:val="center"/>
          </w:tcPr>
          <w:p w14:paraId="636A07AA">
            <w:pPr>
              <w:keepNext w:val="0"/>
              <w:keepLines w:val="0"/>
              <w:widowControl/>
              <w:suppressLineNumbers w:val="0"/>
              <w:ind w:left="0" w:firstLine="0"/>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2A47D27F">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对用作经营的居民自建房从事人员密集型经营活动违法违规行为的行政处罚</w:t>
            </w:r>
          </w:p>
        </w:tc>
        <w:tc>
          <w:tcPr>
            <w:tcW w:w="4570" w:type="dxa"/>
            <w:vAlign w:val="center"/>
          </w:tcPr>
          <w:p w14:paraId="4FB78A38">
            <w:pPr>
              <w:keepNext w:val="0"/>
              <w:keepLines w:val="0"/>
              <w:pageBreakBefore w:val="0"/>
              <w:widowControl/>
              <w:suppressLineNumbers w:val="0"/>
              <w:kinsoku/>
              <w:wordWrap/>
              <w:overflowPunct/>
              <w:topLinePunct w:val="0"/>
              <w:autoSpaceDE/>
              <w:autoSpaceDN/>
              <w:adjustRightInd/>
              <w:snapToGrid/>
              <w:spacing w:after="66" w:afterLines="21" w:afterAutospacing="0" w:line="26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居民自建房安全管理若干规定》（2022年11月23日湖南省第十三届人民代表大会常务委员会第三十四次会议通过）第十九条房屋使用安全责任人违反本规定第十条第一款第一项规定的，由县级人民政府有关主管部门或者乡镇人民政府责令限期改正；逾期未改正的，处五千元以上五万元以下罚款。</w:t>
            </w:r>
          </w:p>
        </w:tc>
        <w:tc>
          <w:tcPr>
            <w:tcW w:w="1156" w:type="dxa"/>
            <w:vAlign w:val="center"/>
          </w:tcPr>
          <w:p w14:paraId="352F0451">
            <w:pPr>
              <w:keepNext w:val="0"/>
              <w:keepLines w:val="0"/>
              <w:widowControl/>
              <w:suppressLineNumbers w:val="0"/>
              <w:ind w:left="0" w:firstLine="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23DE0A02">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宋体" w:hAnsi="宋体" w:eastAsia="宋体" w:cs="宋体"/>
                <w:color w:val="000000"/>
                <w:kern w:val="0"/>
                <w:sz w:val="20"/>
                <w:szCs w:val="20"/>
                <w:vertAlign w:val="baseline"/>
                <w:lang w:val="en-US" w:eastAsia="zh-CN"/>
              </w:rPr>
              <w:t>筲箕湾镇综合行政执法大队</w:t>
            </w:r>
          </w:p>
        </w:tc>
        <w:tc>
          <w:tcPr>
            <w:tcW w:w="2072" w:type="dxa"/>
            <w:vAlign w:val="center"/>
          </w:tcPr>
          <w:p w14:paraId="08D0543C">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064DA9AB">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3A24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787" w:type="dxa"/>
            <w:vAlign w:val="center"/>
          </w:tcPr>
          <w:p w14:paraId="39201165">
            <w:pPr>
              <w:keepNext w:val="0"/>
              <w:keepLines w:val="0"/>
              <w:widowControl/>
              <w:suppressLineNumbers w:val="0"/>
              <w:jc w:val="center"/>
              <w:rPr>
                <w:rFonts w:ascii="宋体" w:hAnsi="宋体" w:eastAsia="宋体" w:cs="宋体"/>
                <w:b/>
                <w:bCs/>
                <w:color w:val="000000"/>
                <w:kern w:val="0"/>
                <w:sz w:val="20"/>
                <w:szCs w:val="20"/>
                <w:highlight w:val="none"/>
                <w:vertAlign w:val="baseline"/>
                <w:lang w:val="en-US" w:eastAsia="zh-CN"/>
              </w:rPr>
            </w:pPr>
            <w:r>
              <w:rPr>
                <w:rFonts w:ascii="仿宋" w:hAnsi="仿宋" w:eastAsia="仿宋" w:cs="仿宋"/>
                <w:color w:val="000000"/>
                <w:kern w:val="0"/>
                <w:sz w:val="21"/>
                <w:szCs w:val="21"/>
                <w:highlight w:val="none"/>
                <w:lang w:val="en-US" w:eastAsia="zh-CN"/>
              </w:rPr>
              <w:t>12</w:t>
            </w:r>
          </w:p>
        </w:tc>
        <w:tc>
          <w:tcPr>
            <w:tcW w:w="1145" w:type="dxa"/>
            <w:vAlign w:val="center"/>
          </w:tcPr>
          <w:p w14:paraId="52588F0D">
            <w:pPr>
              <w:keepNext w:val="0"/>
              <w:keepLines w:val="0"/>
              <w:widowControl/>
              <w:suppressLineNumbers w:val="0"/>
              <w:jc w:val="center"/>
              <w:rPr>
                <w:rFonts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highlight w:val="none"/>
                <w:lang w:val="en-US" w:eastAsia="zh-CN"/>
              </w:rPr>
              <w:t>行政给付</w:t>
            </w:r>
          </w:p>
        </w:tc>
        <w:tc>
          <w:tcPr>
            <w:tcW w:w="1788" w:type="dxa"/>
            <w:vAlign w:val="center"/>
          </w:tcPr>
          <w:p w14:paraId="7CE928C2">
            <w:pPr>
              <w:keepNext w:val="0"/>
              <w:keepLines w:val="0"/>
              <w:widowControl/>
              <w:suppressLineNumbers w:val="0"/>
              <w:jc w:val="left"/>
              <w:rPr>
                <w:rFonts w:hint="eastAsia"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highlight w:val="none"/>
                <w:lang w:val="en-US" w:eastAsia="zh-CN"/>
              </w:rPr>
              <w:t>基本养老服务补贴的审核、管理和给付</w:t>
            </w:r>
          </w:p>
        </w:tc>
        <w:tc>
          <w:tcPr>
            <w:tcW w:w="4570" w:type="dxa"/>
            <w:vAlign w:val="center"/>
          </w:tcPr>
          <w:p w14:paraId="711A91F8">
            <w:pPr>
              <w:keepNext w:val="0"/>
              <w:keepLines w:val="0"/>
              <w:widowControl/>
              <w:suppressLineNumbers w:val="0"/>
              <w:jc w:val="left"/>
              <w:rPr>
                <w:rFonts w:hint="eastAsia"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highlight w:val="none"/>
                <w:lang w:val="en-US" w:eastAsia="zh-CN"/>
              </w:rPr>
              <w:t>《中华人民共和国老年人权益保障法》（2018年12月29日修正）第三十七条：地方各级人民政府和有关部门应当采取措施，发展城乡社区养老服务，鼓励、扶持专业服务机构及其他组织和个人，为居家的老年人提供生活照料、紧急救援、医疗护理、精神慰藉、心理咨询等多种形式的服务。对经济困难的老年人，地方各级人民政府应当逐步给予养老服务补贴。</w:t>
            </w:r>
          </w:p>
        </w:tc>
        <w:tc>
          <w:tcPr>
            <w:tcW w:w="1156" w:type="dxa"/>
            <w:vAlign w:val="center"/>
          </w:tcPr>
          <w:p w14:paraId="3600F6BF">
            <w:pPr>
              <w:keepNext w:val="0"/>
              <w:keepLines w:val="0"/>
              <w:widowControl/>
              <w:suppressLineNumbers w:val="0"/>
              <w:ind w:left="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2BE18724">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lang w:val="en-US" w:eastAsia="zh-CN"/>
              </w:rPr>
              <w:t>筲箕湾镇社会事务综合服务中心</w:t>
            </w:r>
          </w:p>
        </w:tc>
        <w:tc>
          <w:tcPr>
            <w:tcW w:w="2072" w:type="dxa"/>
            <w:vAlign w:val="center"/>
          </w:tcPr>
          <w:p w14:paraId="5C815141">
            <w:pPr>
              <w:keepNext w:val="0"/>
              <w:keepLines w:val="0"/>
              <w:widowControl/>
              <w:suppressLineNumbers w:val="0"/>
              <w:jc w:val="center"/>
              <w:rPr>
                <w:rFonts w:ascii="仿宋" w:hAnsi="仿宋" w:eastAsia="仿宋" w:cs="仿宋"/>
                <w:color w:val="000000"/>
                <w:kern w:val="0"/>
                <w:sz w:val="21"/>
                <w:szCs w:val="21"/>
                <w:lang w:val="en-US" w:eastAsia="zh-CN"/>
              </w:rPr>
            </w:pPr>
          </w:p>
        </w:tc>
        <w:tc>
          <w:tcPr>
            <w:tcW w:w="1845" w:type="dxa"/>
            <w:vAlign w:val="center"/>
          </w:tcPr>
          <w:p w14:paraId="0274C554">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p>
        </w:tc>
      </w:tr>
      <w:tr w14:paraId="6EAD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787" w:type="dxa"/>
            <w:vAlign w:val="center"/>
          </w:tcPr>
          <w:p w14:paraId="3BB7366D">
            <w:pPr>
              <w:keepNext w:val="0"/>
              <w:keepLines w:val="0"/>
              <w:widowControl/>
              <w:suppressLineNumbers w:val="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13</w:t>
            </w:r>
          </w:p>
        </w:tc>
        <w:tc>
          <w:tcPr>
            <w:tcW w:w="1145" w:type="dxa"/>
            <w:vAlign w:val="center"/>
          </w:tcPr>
          <w:p w14:paraId="07A8A50E">
            <w:pPr>
              <w:keepNext w:val="0"/>
              <w:keepLines w:val="0"/>
              <w:widowControl/>
              <w:suppressLineNumbers w:val="0"/>
              <w:jc w:val="center"/>
              <w:rPr>
                <w:rFonts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行政给付</w:t>
            </w:r>
          </w:p>
        </w:tc>
        <w:tc>
          <w:tcPr>
            <w:tcW w:w="1788" w:type="dxa"/>
            <w:vAlign w:val="center"/>
          </w:tcPr>
          <w:p w14:paraId="7E2627DF">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高龄补贴的审核、管理和给付</w:t>
            </w:r>
          </w:p>
        </w:tc>
        <w:tc>
          <w:tcPr>
            <w:tcW w:w="4570" w:type="dxa"/>
            <w:vAlign w:val="center"/>
          </w:tcPr>
          <w:p w14:paraId="6E5E6083">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中华人民共和国老年人权益保障法》（2018年12月29日修正）第三十三条：国家建立和完善老年人福利制度，根据经济社会发展水平和老年人的实际需要，增加老年人的社会福利。国家鼓励地方建立八十周岁以上低收入老年人高龄津贴制度。</w:t>
            </w:r>
          </w:p>
        </w:tc>
        <w:tc>
          <w:tcPr>
            <w:tcW w:w="1156" w:type="dxa"/>
            <w:vAlign w:val="center"/>
          </w:tcPr>
          <w:p w14:paraId="5EEE85E3">
            <w:pPr>
              <w:keepNext w:val="0"/>
              <w:keepLines w:val="0"/>
              <w:widowControl/>
              <w:suppressLineNumbers w:val="0"/>
              <w:ind w:left="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79D89A26">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lang w:val="en-US" w:eastAsia="zh-CN"/>
              </w:rPr>
              <w:t>筲箕湾镇社会事务综合服务中心</w:t>
            </w:r>
          </w:p>
        </w:tc>
        <w:tc>
          <w:tcPr>
            <w:tcW w:w="2072" w:type="dxa"/>
            <w:vAlign w:val="center"/>
          </w:tcPr>
          <w:p w14:paraId="24ECF791">
            <w:pPr>
              <w:keepNext w:val="0"/>
              <w:keepLines w:val="0"/>
              <w:widowControl/>
              <w:suppressLineNumbers w:val="0"/>
              <w:jc w:val="center"/>
              <w:rPr>
                <w:rFonts w:ascii="仿宋" w:hAnsi="仿宋" w:eastAsia="仿宋" w:cs="仿宋"/>
                <w:color w:val="000000"/>
                <w:kern w:val="0"/>
                <w:sz w:val="21"/>
                <w:szCs w:val="21"/>
                <w:lang w:val="en-US" w:eastAsia="zh-CN"/>
              </w:rPr>
            </w:pPr>
          </w:p>
        </w:tc>
        <w:tc>
          <w:tcPr>
            <w:tcW w:w="1845" w:type="dxa"/>
            <w:vAlign w:val="center"/>
          </w:tcPr>
          <w:p w14:paraId="2716220A">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p>
        </w:tc>
      </w:tr>
      <w:tr w14:paraId="4E81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787" w:type="dxa"/>
            <w:vAlign w:val="center"/>
          </w:tcPr>
          <w:p w14:paraId="6593BBD6">
            <w:pPr>
              <w:keepNext w:val="0"/>
              <w:keepLines w:val="0"/>
              <w:widowControl/>
              <w:suppressLineNumbers w:val="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14</w:t>
            </w:r>
          </w:p>
        </w:tc>
        <w:tc>
          <w:tcPr>
            <w:tcW w:w="1145" w:type="dxa"/>
            <w:vAlign w:val="center"/>
          </w:tcPr>
          <w:p w14:paraId="78E2A662">
            <w:pPr>
              <w:keepNext w:val="0"/>
              <w:keepLines w:val="0"/>
              <w:widowControl/>
              <w:suppressLineNumbers w:val="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行政给付</w:t>
            </w:r>
          </w:p>
        </w:tc>
        <w:tc>
          <w:tcPr>
            <w:tcW w:w="1788" w:type="dxa"/>
            <w:vAlign w:val="center"/>
          </w:tcPr>
          <w:p w14:paraId="5288E4B7">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对生活确有困难残疾人的救助</w:t>
            </w:r>
          </w:p>
        </w:tc>
        <w:tc>
          <w:tcPr>
            <w:tcW w:w="4570" w:type="dxa"/>
            <w:vAlign w:val="center"/>
          </w:tcPr>
          <w:p w14:paraId="7BAC56D2">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中华人民共和国残疾人保障法》(2018年10月26日修正)第四十八条：各级人民政府对生活确有困难的残疾人，通过多种渠道给予生活、教育、住房和其他类社会救助。各级人民政府对贫困残疾人的基本医疗、康复服务、必要的辅助器具的配置和更换，应当按照规定给予救助。对生活不能自理的残疾人，地方各级人民政府应当根据情况给予护理补贴。</w:t>
            </w:r>
          </w:p>
        </w:tc>
        <w:tc>
          <w:tcPr>
            <w:tcW w:w="1156" w:type="dxa"/>
            <w:vAlign w:val="center"/>
          </w:tcPr>
          <w:p w14:paraId="79B1D6CA">
            <w:pPr>
              <w:keepNext w:val="0"/>
              <w:keepLines w:val="0"/>
              <w:widowControl/>
              <w:suppressLineNumbers w:val="0"/>
              <w:ind w:left="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60CA8979">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lang w:val="en-US" w:eastAsia="zh-CN"/>
              </w:rPr>
              <w:t>筲箕湾镇社会事务综合服务中心</w:t>
            </w:r>
          </w:p>
        </w:tc>
        <w:tc>
          <w:tcPr>
            <w:tcW w:w="2072" w:type="dxa"/>
            <w:vAlign w:val="center"/>
          </w:tcPr>
          <w:p w14:paraId="7F4192F9">
            <w:pPr>
              <w:keepNext w:val="0"/>
              <w:keepLines w:val="0"/>
              <w:widowControl/>
              <w:suppressLineNumbers w:val="0"/>
              <w:jc w:val="center"/>
              <w:rPr>
                <w:rFonts w:ascii="仿宋" w:hAnsi="仿宋" w:eastAsia="仿宋" w:cs="仿宋"/>
                <w:color w:val="000000"/>
                <w:kern w:val="0"/>
                <w:sz w:val="21"/>
                <w:szCs w:val="21"/>
                <w:lang w:val="en-US" w:eastAsia="zh-CN"/>
              </w:rPr>
            </w:pPr>
          </w:p>
        </w:tc>
        <w:tc>
          <w:tcPr>
            <w:tcW w:w="1845" w:type="dxa"/>
            <w:vAlign w:val="center"/>
          </w:tcPr>
          <w:p w14:paraId="68A4AE64">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p>
        </w:tc>
      </w:tr>
      <w:tr w14:paraId="1F3F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87" w:type="dxa"/>
            <w:vAlign w:val="center"/>
          </w:tcPr>
          <w:p w14:paraId="17A1912A">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1</w:t>
            </w:r>
            <w:r>
              <w:rPr>
                <w:rFonts w:ascii="仿宋" w:hAnsi="仿宋" w:eastAsia="仿宋" w:cs="仿宋"/>
                <w:color w:val="000000"/>
                <w:kern w:val="0"/>
                <w:sz w:val="21"/>
                <w:szCs w:val="21"/>
                <w:lang w:val="en-US" w:eastAsia="zh-CN"/>
              </w:rPr>
              <w:t>5</w:t>
            </w:r>
          </w:p>
        </w:tc>
        <w:tc>
          <w:tcPr>
            <w:tcW w:w="1145" w:type="dxa"/>
            <w:vAlign w:val="center"/>
          </w:tcPr>
          <w:p w14:paraId="21FEFD05">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行政强制</w:t>
            </w:r>
          </w:p>
        </w:tc>
        <w:tc>
          <w:tcPr>
            <w:tcW w:w="1788" w:type="dxa"/>
            <w:vAlign w:val="center"/>
          </w:tcPr>
          <w:p w14:paraId="18178381">
            <w:pPr>
              <w:keepNext w:val="0"/>
              <w:keepLines w:val="0"/>
              <w:widowControl/>
              <w:suppressLineNumbers w:val="0"/>
              <w:jc w:val="left"/>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对未依法取得乡村建设规划许可证或未按乡村建设规划许可证建设，逾期不改正的拆除</w:t>
            </w:r>
          </w:p>
        </w:tc>
        <w:tc>
          <w:tcPr>
            <w:tcW w:w="4570" w:type="dxa"/>
            <w:vAlign w:val="center"/>
          </w:tcPr>
          <w:p w14:paraId="2BB20D53">
            <w:pPr>
              <w:keepNext w:val="0"/>
              <w:keepLines w:val="0"/>
              <w:widowControl/>
              <w:suppressLineNumbers w:val="0"/>
              <w:jc w:val="left"/>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中华人民共和国城乡规划法》（2019年4月23日修正）第六十五条：在乡、区内未依法取得乡村建设规划许可证或者未按照乡村建设规划许可证的规定进行建设的，由乡、镇人民政府责令停止建设、限期改正；逾期不改正的，可以拆除。</w:t>
            </w:r>
          </w:p>
        </w:tc>
        <w:tc>
          <w:tcPr>
            <w:tcW w:w="1156" w:type="dxa"/>
            <w:vAlign w:val="center"/>
          </w:tcPr>
          <w:p w14:paraId="737D60B9">
            <w:pPr>
              <w:keepNext w:val="0"/>
              <w:keepLines w:val="0"/>
              <w:widowControl/>
              <w:suppressLineNumbers w:val="0"/>
              <w:ind w:left="0" w:firstLine="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6FEB9658">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宋体" w:hAnsi="宋体" w:eastAsia="宋体" w:cs="宋体"/>
                <w:color w:val="000000"/>
                <w:kern w:val="0"/>
                <w:sz w:val="20"/>
                <w:szCs w:val="20"/>
                <w:vertAlign w:val="baseline"/>
                <w:lang w:val="en-US" w:eastAsia="zh-CN"/>
              </w:rPr>
              <w:t>筲箕湾镇综合行政执法大队</w:t>
            </w:r>
          </w:p>
        </w:tc>
        <w:tc>
          <w:tcPr>
            <w:tcW w:w="2072" w:type="dxa"/>
            <w:vAlign w:val="center"/>
          </w:tcPr>
          <w:p w14:paraId="2B3D570B">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327E4382">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7364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787" w:type="dxa"/>
            <w:vAlign w:val="center"/>
          </w:tcPr>
          <w:p w14:paraId="3966C50F">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16</w:t>
            </w:r>
          </w:p>
        </w:tc>
        <w:tc>
          <w:tcPr>
            <w:tcW w:w="1145" w:type="dxa"/>
            <w:vAlign w:val="center"/>
          </w:tcPr>
          <w:p w14:paraId="5CC6B6FA">
            <w:pPr>
              <w:keepNext w:val="0"/>
              <w:keepLines w:val="0"/>
              <w:widowControl/>
              <w:suppressLineNumbers w:val="0"/>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行政强制</w:t>
            </w:r>
          </w:p>
        </w:tc>
        <w:tc>
          <w:tcPr>
            <w:tcW w:w="1788" w:type="dxa"/>
            <w:vAlign w:val="center"/>
          </w:tcPr>
          <w:p w14:paraId="15513DC6">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对地质灾害险情情况紧急的行政强制</w:t>
            </w:r>
          </w:p>
        </w:tc>
        <w:tc>
          <w:tcPr>
            <w:tcW w:w="4570" w:type="dxa"/>
            <w:vAlign w:val="center"/>
          </w:tcPr>
          <w:p w14:paraId="14F88C94">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地质灾害防治条例》（国务院令第394号）第二十九条：接到地质灾害险情报告的当地人民政府、基层群众自治组织应当根据实际情况，及时动员受到地质灾害威胁的居民以及其他人员转移到安全地带；情况紧急时，可以强行组织避灾疏散。</w:t>
            </w:r>
          </w:p>
        </w:tc>
        <w:tc>
          <w:tcPr>
            <w:tcW w:w="1156" w:type="dxa"/>
            <w:vAlign w:val="center"/>
          </w:tcPr>
          <w:p w14:paraId="6F0A20F4">
            <w:pPr>
              <w:keepNext w:val="0"/>
              <w:keepLines w:val="0"/>
              <w:widowControl/>
              <w:suppressLineNumbers w:val="0"/>
              <w:ind w:left="0" w:firstLine="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653ED49F">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lang w:val="en-US" w:eastAsia="zh-CN"/>
              </w:rPr>
              <w:t>筲箕湾镇自然资源所</w:t>
            </w:r>
          </w:p>
        </w:tc>
        <w:tc>
          <w:tcPr>
            <w:tcW w:w="2072" w:type="dxa"/>
            <w:vAlign w:val="center"/>
          </w:tcPr>
          <w:p w14:paraId="0D19A62B">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7A27E4BD">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6ADD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787" w:type="dxa"/>
            <w:vAlign w:val="center"/>
          </w:tcPr>
          <w:p w14:paraId="0812C691">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17</w:t>
            </w:r>
          </w:p>
        </w:tc>
        <w:tc>
          <w:tcPr>
            <w:tcW w:w="1145" w:type="dxa"/>
            <w:vAlign w:val="center"/>
          </w:tcPr>
          <w:p w14:paraId="6E0382A6">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行政强制</w:t>
            </w:r>
          </w:p>
        </w:tc>
        <w:tc>
          <w:tcPr>
            <w:tcW w:w="1788" w:type="dxa"/>
            <w:vAlign w:val="center"/>
          </w:tcPr>
          <w:p w14:paraId="76E43854">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对非法种植毒品原植物的行政强制</w:t>
            </w:r>
          </w:p>
        </w:tc>
        <w:tc>
          <w:tcPr>
            <w:tcW w:w="4570" w:type="dxa"/>
            <w:vAlign w:val="center"/>
          </w:tcPr>
          <w:p w14:paraId="1FC35BEE">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禁毒法》（主席令第七十九号）第十九条：地方各级人民政府发现非法种植毒品原植物的，应当立即采取措施予以制止、铲除。村民委员会、居民委员会发现非法种植毒品原植物的，应当及时予以制止、铲除，并向当地公安机关报告。</w:t>
            </w:r>
          </w:p>
        </w:tc>
        <w:tc>
          <w:tcPr>
            <w:tcW w:w="1156" w:type="dxa"/>
            <w:vAlign w:val="center"/>
          </w:tcPr>
          <w:p w14:paraId="44CC6F1E">
            <w:pPr>
              <w:keepNext w:val="0"/>
              <w:keepLines w:val="0"/>
              <w:widowControl/>
              <w:suppressLineNumbers w:val="0"/>
              <w:ind w:left="0" w:firstLine="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44123185">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rPr>
            </w:pPr>
            <w:r>
              <w:rPr>
                <w:rFonts w:ascii="宋体" w:hAnsi="宋体" w:eastAsia="宋体" w:cs="宋体"/>
                <w:color w:val="000000"/>
                <w:kern w:val="0"/>
                <w:sz w:val="20"/>
                <w:szCs w:val="20"/>
                <w:vertAlign w:val="baseline"/>
                <w:lang w:val="en-US" w:eastAsia="zh-CN"/>
              </w:rPr>
              <w:t>筲箕湾镇平安法治和应急管理办公室</w:t>
            </w:r>
          </w:p>
        </w:tc>
        <w:tc>
          <w:tcPr>
            <w:tcW w:w="2072" w:type="dxa"/>
            <w:vAlign w:val="center"/>
          </w:tcPr>
          <w:p w14:paraId="469E9C45">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72B57444">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6689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787" w:type="dxa"/>
            <w:vAlign w:val="center"/>
          </w:tcPr>
          <w:p w14:paraId="72786A4A">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18</w:t>
            </w:r>
          </w:p>
        </w:tc>
        <w:tc>
          <w:tcPr>
            <w:tcW w:w="1145" w:type="dxa"/>
            <w:vAlign w:val="center"/>
          </w:tcPr>
          <w:p w14:paraId="250D4A43">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行政确认</w:t>
            </w:r>
          </w:p>
        </w:tc>
        <w:tc>
          <w:tcPr>
            <w:tcW w:w="1788" w:type="dxa"/>
            <w:vAlign w:val="center"/>
          </w:tcPr>
          <w:p w14:paraId="542503A5">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村（居）民申请法律援助经济困难证明</w:t>
            </w:r>
          </w:p>
        </w:tc>
        <w:tc>
          <w:tcPr>
            <w:tcW w:w="4570" w:type="dxa"/>
            <w:vAlign w:val="center"/>
          </w:tcPr>
          <w:p w14:paraId="05E032A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法律援助条例》(湖南省第十一届人民代表大会常务委员会公告第53号）第十四条：公民向户籍所在地或者长期居住地乡镇人民政府、街道办事处申请出具经济困难证明的，乡镇人民政府、街道办事处应当在三个工作日内对申请人的家庭人口、就业情况等进行审查。对符合条件的，出具证明；对不符合条件的，不出具证明，并说明理由。</w:t>
            </w:r>
          </w:p>
        </w:tc>
        <w:tc>
          <w:tcPr>
            <w:tcW w:w="1156" w:type="dxa"/>
            <w:vAlign w:val="center"/>
          </w:tcPr>
          <w:p w14:paraId="5A40559F">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3ED9336F">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lang w:val="en-US" w:eastAsia="zh-CN"/>
              </w:rPr>
              <w:t>筲箕湾镇社会事务综合服务中心</w:t>
            </w:r>
          </w:p>
        </w:tc>
        <w:tc>
          <w:tcPr>
            <w:tcW w:w="2072" w:type="dxa"/>
            <w:vAlign w:val="center"/>
          </w:tcPr>
          <w:p w14:paraId="7D3D8C51">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2C3D94A4">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4864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787" w:type="dxa"/>
            <w:vAlign w:val="center"/>
          </w:tcPr>
          <w:p w14:paraId="5FD6A94D">
            <w:pPr>
              <w:keepNext w:val="0"/>
              <w:keepLines w:val="0"/>
              <w:widowControl/>
              <w:suppressLineNumbers w:val="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19</w:t>
            </w:r>
          </w:p>
        </w:tc>
        <w:tc>
          <w:tcPr>
            <w:tcW w:w="1145" w:type="dxa"/>
            <w:vAlign w:val="center"/>
          </w:tcPr>
          <w:p w14:paraId="438F4186">
            <w:pPr>
              <w:keepNext w:val="0"/>
              <w:keepLines w:val="0"/>
              <w:widowControl/>
              <w:suppressLineNumbers w:val="0"/>
              <w:jc w:val="left"/>
              <w:rPr>
                <w:rFonts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行政确认</w:t>
            </w:r>
          </w:p>
        </w:tc>
        <w:tc>
          <w:tcPr>
            <w:tcW w:w="1788" w:type="dxa"/>
            <w:vAlign w:val="center"/>
          </w:tcPr>
          <w:p w14:paraId="40450FC3">
            <w:pPr>
              <w:pStyle w:val="23"/>
              <w:keepNext w:val="0"/>
              <w:keepLines w:val="0"/>
              <w:pageBreakBefore w:val="0"/>
              <w:widowControl/>
              <w:kinsoku/>
              <w:wordWrap/>
              <w:overflowPunct/>
              <w:topLinePunct w:val="0"/>
              <w:autoSpaceDE/>
              <w:autoSpaceDN/>
              <w:adjustRightInd/>
              <w:snapToGrid/>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特困人员认定和救助供养待遇审核及监督管理</w:t>
            </w:r>
          </w:p>
          <w:p w14:paraId="1CF0BFA9">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p>
        </w:tc>
        <w:tc>
          <w:tcPr>
            <w:tcW w:w="4570" w:type="dxa"/>
            <w:vAlign w:val="center"/>
          </w:tcPr>
          <w:p w14:paraId="7AC4FA3F">
            <w:pPr>
              <w:pStyle w:val="23"/>
              <w:keepNext w:val="0"/>
              <w:keepLines w:val="0"/>
              <w:pageBreakBefore w:val="0"/>
              <w:widowControl/>
              <w:kinsoku/>
              <w:wordWrap/>
              <w:overflowPunct/>
              <w:topLinePunct w:val="0"/>
              <w:autoSpaceDE/>
              <w:autoSpaceDN/>
              <w:adjustRightInd/>
              <w:snapToGrid/>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《社会救助暂行办法》（国务院令第649号）第十六条：申请特困人员供养，由本人向户籍所在地乡镇人民政府、街道办事处所出书面申请；本人申请有困难的，可以委托村民委员会、居民委员会代为提出申请。</w:t>
            </w:r>
          </w:p>
        </w:tc>
        <w:tc>
          <w:tcPr>
            <w:tcW w:w="1156" w:type="dxa"/>
            <w:vAlign w:val="center"/>
          </w:tcPr>
          <w:p w14:paraId="3C33114D">
            <w:pPr>
              <w:keepNext w:val="0"/>
              <w:keepLines w:val="0"/>
              <w:widowControl/>
              <w:suppressLineNumbers w:val="0"/>
              <w:jc w:val="center"/>
              <w:rPr>
                <w:rFonts w:hint="eastAsia"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396BEFB7">
            <w:pPr>
              <w:keepNext w:val="0"/>
              <w:keepLines w:val="0"/>
              <w:widowControl/>
              <w:suppressLineNumbers w:val="0"/>
              <w:jc w:val="center"/>
              <w:rPr>
                <w:rFonts w:hint="eastAsia" w:ascii="宋体" w:hAnsi="宋体" w:eastAsia="宋体" w:cs="宋体"/>
                <w:b/>
                <w:bCs/>
                <w:color w:val="000000"/>
                <w:kern w:val="0"/>
                <w:sz w:val="20"/>
                <w:szCs w:val="20"/>
                <w:highlight w:val="none"/>
                <w:vertAlign w:val="baseline"/>
                <w:lang w:val="en-US" w:eastAsia="zh-CN"/>
              </w:rPr>
            </w:pPr>
            <w:r>
              <w:rPr>
                <w:rFonts w:ascii="仿宋" w:hAnsi="仿宋" w:eastAsia="仿宋" w:cs="仿宋"/>
                <w:color w:val="000000"/>
                <w:kern w:val="0"/>
                <w:sz w:val="21"/>
                <w:szCs w:val="21"/>
                <w:lang w:val="en-US" w:eastAsia="zh-CN"/>
              </w:rPr>
              <w:t>筲箕湾镇社会事务综合服务中心</w:t>
            </w:r>
          </w:p>
        </w:tc>
        <w:tc>
          <w:tcPr>
            <w:tcW w:w="2072" w:type="dxa"/>
            <w:vAlign w:val="center"/>
          </w:tcPr>
          <w:p w14:paraId="053C47BC">
            <w:pPr>
              <w:keepNext w:val="0"/>
              <w:keepLines w:val="0"/>
              <w:widowControl/>
              <w:suppressLineNumbers w:val="0"/>
              <w:jc w:val="center"/>
              <w:rPr>
                <w:rFonts w:hint="eastAsia"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highlight w:val="none"/>
                <w:lang w:val="en-US" w:eastAsia="zh-CN"/>
              </w:rPr>
              <w:t>√</w:t>
            </w:r>
          </w:p>
        </w:tc>
        <w:tc>
          <w:tcPr>
            <w:tcW w:w="1845" w:type="dxa"/>
            <w:vAlign w:val="center"/>
          </w:tcPr>
          <w:p w14:paraId="442EDB5D">
            <w:pPr>
              <w:keepNext w:val="0"/>
              <w:keepLines w:val="0"/>
              <w:widowControl/>
              <w:suppressLineNumbers w:val="0"/>
              <w:jc w:val="center"/>
              <w:rPr>
                <w:rFonts w:hint="eastAsia" w:ascii="宋体" w:hAnsi="宋体" w:eastAsia="宋体" w:cs="宋体"/>
                <w:b/>
                <w:bCs/>
                <w:color w:val="000000"/>
                <w:kern w:val="0"/>
                <w:sz w:val="20"/>
                <w:szCs w:val="20"/>
                <w:highlight w:val="none"/>
                <w:vertAlign w:val="baseline"/>
                <w:lang w:val="en-US" w:eastAsia="zh-CN"/>
              </w:rPr>
            </w:pPr>
          </w:p>
        </w:tc>
      </w:tr>
      <w:tr w14:paraId="3792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trPr>
        <w:tc>
          <w:tcPr>
            <w:tcW w:w="787" w:type="dxa"/>
            <w:vAlign w:val="center"/>
          </w:tcPr>
          <w:p w14:paraId="54165D1B">
            <w:pPr>
              <w:keepNext w:val="0"/>
              <w:keepLines w:val="0"/>
              <w:widowControl/>
              <w:suppressLineNumbers w:val="0"/>
              <w:jc w:val="center"/>
              <w:rPr>
                <w:rFonts w:ascii="宋体" w:hAnsi="宋体" w:eastAsia="宋体" w:cs="宋体"/>
                <w:b/>
                <w:bCs/>
                <w:color w:val="000000"/>
                <w:kern w:val="0"/>
                <w:sz w:val="20"/>
                <w:szCs w:val="20"/>
                <w:highlight w:val="none"/>
                <w:vertAlign w:val="baseline"/>
                <w:lang w:val="en-US" w:eastAsia="zh-CN"/>
              </w:rPr>
            </w:pPr>
            <w:r>
              <w:rPr>
                <w:rFonts w:ascii="仿宋" w:hAnsi="仿宋" w:eastAsia="仿宋" w:cs="仿宋"/>
                <w:color w:val="000000"/>
                <w:kern w:val="0"/>
                <w:sz w:val="21"/>
                <w:szCs w:val="21"/>
                <w:highlight w:val="none"/>
                <w:lang w:val="en-US" w:eastAsia="zh-CN"/>
              </w:rPr>
              <w:t>20</w:t>
            </w:r>
          </w:p>
        </w:tc>
        <w:tc>
          <w:tcPr>
            <w:tcW w:w="1145" w:type="dxa"/>
            <w:vAlign w:val="center"/>
          </w:tcPr>
          <w:p w14:paraId="04E0EACF">
            <w:pPr>
              <w:keepNext w:val="0"/>
              <w:keepLines w:val="0"/>
              <w:widowControl/>
              <w:suppressLineNumbers w:val="0"/>
              <w:jc w:val="left"/>
              <w:rPr>
                <w:rFonts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行政裁决</w:t>
            </w:r>
          </w:p>
        </w:tc>
        <w:tc>
          <w:tcPr>
            <w:tcW w:w="1788" w:type="dxa"/>
            <w:vAlign w:val="center"/>
          </w:tcPr>
          <w:p w14:paraId="0B23C653">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个人之间、个人与单位之间发生的林木所有权和林地使用权争议处理</w:t>
            </w:r>
          </w:p>
        </w:tc>
        <w:tc>
          <w:tcPr>
            <w:tcW w:w="4570" w:type="dxa"/>
            <w:vAlign w:val="center"/>
          </w:tcPr>
          <w:p w14:paraId="66A34D99">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《中华人民共和国森林法》（2019年12月28日修改）第二十二条：个人之间、个人与单位之间发生的林木所有权和林地使用权争议，由乡镇人民政府或者县级以上人民政府依法处理。</w:t>
            </w:r>
          </w:p>
          <w:p w14:paraId="5F6834B2">
            <w:pPr>
              <w:keepNext w:val="0"/>
              <w:keepLines w:val="0"/>
              <w:widowControl/>
              <w:suppressLineNumbers w:val="0"/>
              <w:jc w:val="left"/>
              <w:rPr>
                <w:rFonts w:hint="eastAsia" w:ascii="宋体" w:hAnsi="宋体" w:eastAsia="宋体" w:cs="宋体"/>
                <w:b/>
                <w:bCs/>
                <w:color w:val="000000"/>
                <w:kern w:val="0"/>
                <w:sz w:val="20"/>
                <w:szCs w:val="20"/>
                <w:highlight w:val="none"/>
                <w:vertAlign w:val="baseline"/>
                <w:lang w:val="en-US" w:eastAsia="zh-CN"/>
              </w:rPr>
            </w:pPr>
          </w:p>
        </w:tc>
        <w:tc>
          <w:tcPr>
            <w:tcW w:w="1156" w:type="dxa"/>
            <w:vAlign w:val="center"/>
          </w:tcPr>
          <w:p w14:paraId="6E735151">
            <w:pPr>
              <w:keepNext w:val="0"/>
              <w:keepLines w:val="0"/>
              <w:widowControl/>
              <w:suppressLineNumbers w:val="0"/>
              <w:jc w:val="center"/>
              <w:rPr>
                <w:rFonts w:hint="eastAsia" w:ascii="宋体" w:hAnsi="宋体" w:eastAsia="宋体" w:cs="宋体"/>
                <w:b/>
                <w:bCs/>
                <w:color w:val="000000"/>
                <w:kern w:val="0"/>
                <w:sz w:val="20"/>
                <w:szCs w:val="20"/>
                <w:highlight w:val="none"/>
                <w:vertAlign w:val="baseli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04E16775">
            <w:pPr>
              <w:keepNext w:val="0"/>
              <w:keepLines w:val="0"/>
              <w:widowControl/>
              <w:suppressLineNumbers w:val="0"/>
              <w:rPr>
                <w:rFonts w:hint="eastAsia" w:ascii="宋体" w:hAnsi="宋体" w:eastAsia="宋体" w:cs="宋体"/>
                <w:b/>
                <w:bCs/>
                <w:color w:val="000000"/>
                <w:kern w:val="0"/>
                <w:sz w:val="20"/>
                <w:szCs w:val="20"/>
                <w:highlight w:val="none"/>
                <w:vertAlign w:val="baseline"/>
                <w:lang w:val="en-US" w:eastAsia="zh-CN"/>
              </w:rPr>
            </w:pPr>
            <w:r>
              <w:rPr>
                <w:rFonts w:ascii="宋体" w:hAnsi="宋体" w:eastAsia="宋体" w:cs="宋体"/>
                <w:color w:val="000000"/>
                <w:kern w:val="0"/>
                <w:sz w:val="20"/>
                <w:szCs w:val="20"/>
                <w:vertAlign w:val="baseline"/>
                <w:lang w:val="en-US" w:eastAsia="zh-CN"/>
              </w:rPr>
              <w:t>筲箕湾镇平安法治和应急管理办公室、筲箕湾镇林业站</w:t>
            </w:r>
          </w:p>
        </w:tc>
        <w:tc>
          <w:tcPr>
            <w:tcW w:w="2072" w:type="dxa"/>
            <w:vAlign w:val="center"/>
          </w:tcPr>
          <w:p w14:paraId="443059C9">
            <w:pPr>
              <w:keepNext w:val="0"/>
              <w:keepLines w:val="0"/>
              <w:widowControl/>
              <w:suppressLineNumbers w:val="0"/>
              <w:jc w:val="center"/>
              <w:rPr>
                <w:rFonts w:hint="eastAsia"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highlight w:val="none"/>
                <w:lang w:val="en-US" w:eastAsia="zh-CN"/>
              </w:rPr>
              <w:t>√</w:t>
            </w:r>
          </w:p>
        </w:tc>
        <w:tc>
          <w:tcPr>
            <w:tcW w:w="1845" w:type="dxa"/>
            <w:vAlign w:val="center"/>
          </w:tcPr>
          <w:p w14:paraId="0FF0B79C">
            <w:pPr>
              <w:keepNext w:val="0"/>
              <w:keepLines w:val="0"/>
              <w:widowControl/>
              <w:suppressLineNumbers w:val="0"/>
              <w:jc w:val="center"/>
              <w:rPr>
                <w:rFonts w:hint="eastAsia" w:ascii="宋体" w:hAnsi="宋体" w:eastAsia="宋体" w:cs="宋体"/>
                <w:b/>
                <w:bCs/>
                <w:color w:val="000000"/>
                <w:kern w:val="0"/>
                <w:sz w:val="20"/>
                <w:szCs w:val="20"/>
                <w:highlight w:val="yellow"/>
                <w:vertAlign w:val="baseline"/>
                <w:lang w:val="en-US" w:eastAsia="zh-CN"/>
              </w:rPr>
            </w:pPr>
          </w:p>
        </w:tc>
      </w:tr>
      <w:tr w14:paraId="17F4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787" w:type="dxa"/>
            <w:vAlign w:val="center"/>
          </w:tcPr>
          <w:p w14:paraId="4CA4F5E7">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21</w:t>
            </w:r>
          </w:p>
        </w:tc>
        <w:tc>
          <w:tcPr>
            <w:tcW w:w="1145" w:type="dxa"/>
            <w:vAlign w:val="center"/>
          </w:tcPr>
          <w:p w14:paraId="06DA5BDF">
            <w:pPr>
              <w:keepNext w:val="0"/>
              <w:keepLines w:val="0"/>
              <w:widowControl/>
              <w:suppressLineNumbers w:val="0"/>
              <w:jc w:val="left"/>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行政裁决</w:t>
            </w:r>
          </w:p>
        </w:tc>
        <w:tc>
          <w:tcPr>
            <w:tcW w:w="1788" w:type="dxa"/>
            <w:vAlign w:val="center"/>
          </w:tcPr>
          <w:p w14:paraId="6222BAB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个人之间、个人与单位之间土地权属争议裁决</w:t>
            </w:r>
          </w:p>
        </w:tc>
        <w:tc>
          <w:tcPr>
            <w:tcW w:w="4570" w:type="dxa"/>
            <w:vAlign w:val="center"/>
          </w:tcPr>
          <w:p w14:paraId="0CACC6D2">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土地管理法》（2019年8月26日修正）第十四条：土地所有权和使用权争议，由当事人协商解决；协商不成的，由人民政府处理。个人之间、个人与单位之间的争议，由乡级人民政府或者县级以上人民政府处理。</w:t>
            </w:r>
          </w:p>
          <w:p w14:paraId="542900F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土地权属争议调查处理办法》（国土资源部令第49号，2010年11月30日修正）第九条：当事人发生土地权属争议，经协商不能解决的，可以依法向县级以上人民政府或者乡级人民政府提出处理申请，也可以依照本办法第五、六、七、八条的规定，向有关的国土资源行政主管部门提出调查处理申请。第三十三条：乡级人民政府处理土地权属争议，参照本办法执行。</w:t>
            </w:r>
          </w:p>
        </w:tc>
        <w:tc>
          <w:tcPr>
            <w:tcW w:w="1156" w:type="dxa"/>
            <w:vAlign w:val="center"/>
          </w:tcPr>
          <w:p w14:paraId="30BC1E54">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564EE4C0">
            <w:pPr>
              <w:keepNext w:val="0"/>
              <w:keepLines w:val="0"/>
              <w:widowControl/>
              <w:suppressLineNumbers w:val="0"/>
              <w:rPr>
                <w:rFonts w:hint="eastAsia" w:ascii="宋体" w:hAnsi="宋体" w:eastAsia="宋体" w:cs="宋体"/>
                <w:b/>
                <w:bCs/>
                <w:color w:val="000000"/>
                <w:kern w:val="0"/>
                <w:sz w:val="20"/>
                <w:szCs w:val="20"/>
                <w:vertAlign w:val="baseline"/>
                <w:lang w:val="en-US" w:eastAsia="zh-CN"/>
              </w:rPr>
            </w:pPr>
            <w:r>
              <w:rPr>
                <w:rFonts w:ascii="宋体" w:hAnsi="宋体" w:eastAsia="宋体" w:cs="宋体"/>
                <w:color w:val="000000"/>
                <w:kern w:val="0"/>
                <w:sz w:val="20"/>
                <w:szCs w:val="20"/>
                <w:vertAlign w:val="baseline"/>
                <w:lang w:val="en-US" w:eastAsia="zh-CN"/>
              </w:rPr>
              <w:t>筲箕湾镇平安法治和应急管理办公室、筲箕湾镇自然资源所</w:t>
            </w:r>
          </w:p>
        </w:tc>
        <w:tc>
          <w:tcPr>
            <w:tcW w:w="2072" w:type="dxa"/>
            <w:vAlign w:val="center"/>
          </w:tcPr>
          <w:p w14:paraId="72FB7AB5">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65E6D7BD">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7201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trPr>
        <w:tc>
          <w:tcPr>
            <w:tcW w:w="787" w:type="dxa"/>
            <w:vAlign w:val="center"/>
          </w:tcPr>
          <w:p w14:paraId="5D871A39">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lang w:val="en-US" w:eastAsia="zh-CN"/>
              </w:rPr>
              <w:t>22</w:t>
            </w:r>
          </w:p>
        </w:tc>
        <w:tc>
          <w:tcPr>
            <w:tcW w:w="1145" w:type="dxa"/>
            <w:vAlign w:val="center"/>
          </w:tcPr>
          <w:p w14:paraId="53CA51C5">
            <w:pPr>
              <w:keepNext w:val="0"/>
              <w:keepLines w:val="0"/>
              <w:widowControl/>
              <w:suppressLineNumbers w:val="0"/>
              <w:jc w:val="left"/>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6C9DB719">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消防安全监督检查</w:t>
            </w:r>
          </w:p>
        </w:tc>
        <w:tc>
          <w:tcPr>
            <w:tcW w:w="4570" w:type="dxa"/>
            <w:vAlign w:val="center"/>
          </w:tcPr>
          <w:p w14:paraId="7523571E">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《中华人民共和国消防法》（主席令第六号）第五十二条：地方各级人民政府应当落实消防工作责任制，对本级人民政府有关部门履行消防安全职责的情况进行监督检查。</w:t>
            </w:r>
          </w:p>
          <w:p w14:paraId="68D29FF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农村消防安全管理若干规定》（湖南省人民政府令第290号）第四条：乡（镇）人民政府应当建立农村消防安全管理、责任、保障、考评机制，每年对农村消防工作情况进行监督检查和考核；第十九条：在农业收获季节、森林防火期间、传统节日期间，乡（镇）人民政府、村（居）民委员会应当组织开展有针对性的消防宣传教育，采取防火措施，进行消防安全检查。</w:t>
            </w:r>
          </w:p>
        </w:tc>
        <w:tc>
          <w:tcPr>
            <w:tcW w:w="1156" w:type="dxa"/>
            <w:vAlign w:val="center"/>
          </w:tcPr>
          <w:p w14:paraId="654A0A7F">
            <w:pPr>
              <w:keepNext w:val="0"/>
              <w:keepLines w:val="0"/>
              <w:widowControl/>
              <w:suppressLineNumbers w:val="0"/>
              <w:jc w:val="left"/>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7A5FDFE7">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宋体" w:hAnsi="宋体" w:eastAsia="宋体" w:cs="宋体"/>
                <w:color w:val="000000"/>
                <w:kern w:val="0"/>
                <w:sz w:val="20"/>
                <w:szCs w:val="20"/>
                <w:vertAlign w:val="baseline"/>
                <w:lang w:val="en-US" w:eastAsia="zh-CN"/>
              </w:rPr>
              <w:t>筲箕湾镇平安法治和应急管理办公室</w:t>
            </w:r>
          </w:p>
        </w:tc>
        <w:tc>
          <w:tcPr>
            <w:tcW w:w="2072" w:type="dxa"/>
            <w:vAlign w:val="center"/>
          </w:tcPr>
          <w:p w14:paraId="180F63CD">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527A5F68">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3499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787" w:type="dxa"/>
            <w:vAlign w:val="center"/>
          </w:tcPr>
          <w:p w14:paraId="62427B8A">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23</w:t>
            </w:r>
          </w:p>
        </w:tc>
        <w:tc>
          <w:tcPr>
            <w:tcW w:w="1145" w:type="dxa"/>
            <w:vAlign w:val="center"/>
          </w:tcPr>
          <w:p w14:paraId="54237A2B">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055F193D">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行政区域内生产经营单位安全生产状况监督检查</w:t>
            </w:r>
          </w:p>
        </w:tc>
        <w:tc>
          <w:tcPr>
            <w:tcW w:w="4570" w:type="dxa"/>
            <w:vAlign w:val="center"/>
          </w:tcPr>
          <w:p w14:paraId="26F747ED">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安全生产法》第九条：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tc>
        <w:tc>
          <w:tcPr>
            <w:tcW w:w="1156" w:type="dxa"/>
            <w:vAlign w:val="center"/>
          </w:tcPr>
          <w:p w14:paraId="7327B7D8">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02C7FACA">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宋体" w:hAnsi="宋体" w:eastAsia="宋体" w:cs="宋体"/>
                <w:color w:val="000000"/>
                <w:kern w:val="0"/>
                <w:sz w:val="20"/>
                <w:szCs w:val="20"/>
                <w:vertAlign w:val="baseline"/>
                <w:lang w:val="en-US" w:eastAsia="zh-CN"/>
              </w:rPr>
              <w:t>筲箕湾镇平安法治和应急管理办公室</w:t>
            </w:r>
          </w:p>
        </w:tc>
        <w:tc>
          <w:tcPr>
            <w:tcW w:w="2072" w:type="dxa"/>
            <w:vAlign w:val="center"/>
          </w:tcPr>
          <w:p w14:paraId="470C6BD6">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45274251">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6815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787" w:type="dxa"/>
            <w:vAlign w:val="center"/>
          </w:tcPr>
          <w:p w14:paraId="32E04DCC">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24</w:t>
            </w:r>
          </w:p>
        </w:tc>
        <w:tc>
          <w:tcPr>
            <w:tcW w:w="1145" w:type="dxa"/>
            <w:vAlign w:val="center"/>
          </w:tcPr>
          <w:p w14:paraId="2236142A">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6FAB226E">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渡口渡船签单发航制度实施情况的检查</w:t>
            </w:r>
          </w:p>
        </w:tc>
        <w:tc>
          <w:tcPr>
            <w:tcW w:w="4570" w:type="dxa"/>
            <w:vAlign w:val="center"/>
          </w:tcPr>
          <w:p w14:paraId="59C53A40">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水上交通安全条例》（2017年11月30日通过）第三十八条：乡镇人民政府、街道办事处应当确定水上交通安全管理的专门人员，定期对渡口渡船签单发航制度的实施情况进行检查，落实水上交通安全隐患的防范和整改措施。</w:t>
            </w:r>
          </w:p>
        </w:tc>
        <w:tc>
          <w:tcPr>
            <w:tcW w:w="1156" w:type="dxa"/>
            <w:vAlign w:val="center"/>
          </w:tcPr>
          <w:p w14:paraId="6A27748D">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4CBF021A">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筲箕湾镇农业综合服务中心</w:t>
            </w:r>
          </w:p>
        </w:tc>
        <w:tc>
          <w:tcPr>
            <w:tcW w:w="2072" w:type="dxa"/>
            <w:vAlign w:val="center"/>
          </w:tcPr>
          <w:p w14:paraId="049BBF2E">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15842391">
            <w:pPr>
              <w:keepNext w:val="0"/>
              <w:keepLines w:val="0"/>
              <w:widowControl/>
              <w:suppressLineNumbers w:val="0"/>
              <w:jc w:val="center"/>
              <w:rPr>
                <w:rFonts w:hint="eastAsia" w:ascii="仿宋" w:hAnsi="仿宋" w:eastAsia="仿宋" w:cs="仿宋"/>
                <w:color w:val="000000"/>
                <w:kern w:val="0"/>
                <w:sz w:val="21"/>
                <w:szCs w:val="21"/>
                <w:lang w:val="en-US" w:eastAsia="zh-CN"/>
              </w:rPr>
            </w:pPr>
          </w:p>
        </w:tc>
      </w:tr>
      <w:tr w14:paraId="08B6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87" w:type="dxa"/>
            <w:vAlign w:val="center"/>
          </w:tcPr>
          <w:p w14:paraId="1B7B583F">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25</w:t>
            </w:r>
          </w:p>
        </w:tc>
        <w:tc>
          <w:tcPr>
            <w:tcW w:w="1145" w:type="dxa"/>
            <w:vAlign w:val="center"/>
          </w:tcPr>
          <w:p w14:paraId="2614180B">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7CBEBB0C">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安全监督和特大事故防范</w:t>
            </w:r>
          </w:p>
        </w:tc>
        <w:tc>
          <w:tcPr>
            <w:tcW w:w="4570" w:type="dxa"/>
            <w:vAlign w:val="center"/>
          </w:tcPr>
          <w:p w14:paraId="415644F7">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《国务院关于特大安全事故行政责任追究的规定》(国务院令第302号)第四条：地方各级人民政府及政府有关部门应当依照有关法律、法规和规章的规定，采取行政措施，对本地区实施安全</w:t>
            </w:r>
            <w:r>
              <w:rPr>
                <w:rFonts w:hint="eastAsia" w:ascii="仿宋" w:hAnsi="仿宋" w:eastAsia="仿宋" w:cs="仿宋"/>
                <w:color w:val="000000"/>
                <w:spacing w:val="-6"/>
                <w:kern w:val="0"/>
                <w:sz w:val="21"/>
                <w:szCs w:val="21"/>
                <w:lang w:val="en-US" w:eastAsia="zh-CN"/>
              </w:rPr>
              <w:t>监督管理，保障本地区人民群众生命、财产安全，对本地区或者职责范围内防范特大安全事故的发生、特大安全事故发生后的迅速和妥善处理负责。</w:t>
            </w:r>
          </w:p>
        </w:tc>
        <w:tc>
          <w:tcPr>
            <w:tcW w:w="1156" w:type="dxa"/>
            <w:vAlign w:val="center"/>
          </w:tcPr>
          <w:p w14:paraId="5C2DBBEC">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13AD279C">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宋体" w:hAnsi="宋体" w:eastAsia="宋体" w:cs="宋体"/>
                <w:color w:val="000000"/>
                <w:kern w:val="0"/>
                <w:sz w:val="20"/>
                <w:szCs w:val="20"/>
                <w:vertAlign w:val="baseline"/>
                <w:lang w:val="en-US" w:eastAsia="zh-CN"/>
              </w:rPr>
              <w:t>筲箕湾镇平安法治和应急管理办公室</w:t>
            </w:r>
          </w:p>
        </w:tc>
        <w:tc>
          <w:tcPr>
            <w:tcW w:w="2072" w:type="dxa"/>
            <w:vAlign w:val="center"/>
          </w:tcPr>
          <w:p w14:paraId="621FE243">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0F226E54">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653F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87" w:type="dxa"/>
            <w:vAlign w:val="center"/>
          </w:tcPr>
          <w:p w14:paraId="5581298B">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26</w:t>
            </w:r>
          </w:p>
        </w:tc>
        <w:tc>
          <w:tcPr>
            <w:tcW w:w="1145" w:type="dxa"/>
            <w:vAlign w:val="center"/>
          </w:tcPr>
          <w:p w14:paraId="35330752">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00543629">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对临时宗教活动地点监管 、大型宗教活动的行政检查</w:t>
            </w:r>
          </w:p>
        </w:tc>
        <w:tc>
          <w:tcPr>
            <w:tcW w:w="4570" w:type="dxa"/>
            <w:vAlign w:val="center"/>
          </w:tcPr>
          <w:p w14:paraId="55AC8084">
            <w:pPr>
              <w:keepNext w:val="0"/>
              <w:keepLines w:val="0"/>
              <w:pageBreakBefore w:val="0"/>
              <w:widowControl/>
              <w:suppressLineNumbers w:val="0"/>
              <w:kinsoku/>
              <w:wordWrap/>
              <w:overflowPunct/>
              <w:topLinePunct w:val="0"/>
              <w:autoSpaceDE/>
              <w:autoSpaceDN/>
              <w:adjustRightInd/>
              <w:snapToGrid/>
              <w:spacing w:line="30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宗教事务条例》(国务院令第686号)第六条：各级人民政府应当加强宗教工作，建立健全教工作机制，保障工作力量和必要的工作条件。乡级人民政府应当做好本行政区域的宗教事务管理工作。第三十五条：尚不具备条件申请设立宗教活动场所的，由信教公民代表向县级人民政府宗教事务部门提出申请，县级人民政府宗教事务部门征求所在地宗教团体和乡级人民政府意见后，可以为其指定临时活动地点。所在地乡级人民政府对临时活动地点的活动进行监管。第四十二条：大型宗教活动举办地的乡级人民政府和县级以上地方人民政府有关部门应当依据各自职责实施必要的管理和指导。</w:t>
            </w:r>
          </w:p>
        </w:tc>
        <w:tc>
          <w:tcPr>
            <w:tcW w:w="1156" w:type="dxa"/>
            <w:vAlign w:val="center"/>
          </w:tcPr>
          <w:p w14:paraId="0EC7C895">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3FA98019">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2072" w:type="dxa"/>
            <w:vAlign w:val="center"/>
          </w:tcPr>
          <w:p w14:paraId="152E7E33">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570B0EFC">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0326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87" w:type="dxa"/>
            <w:vAlign w:val="center"/>
          </w:tcPr>
          <w:p w14:paraId="5F7A9CCD">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27</w:t>
            </w:r>
          </w:p>
        </w:tc>
        <w:tc>
          <w:tcPr>
            <w:tcW w:w="1145" w:type="dxa"/>
            <w:vAlign w:val="center"/>
          </w:tcPr>
          <w:p w14:paraId="532D0EB4">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27504334">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对本辖区内居民自建房安全行政检查</w:t>
            </w:r>
          </w:p>
        </w:tc>
        <w:tc>
          <w:tcPr>
            <w:tcW w:w="4570" w:type="dxa"/>
            <w:vAlign w:val="center"/>
          </w:tcPr>
          <w:p w14:paraId="6F9BC658">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居民自建房安全管理若干规定》（2022年11月23日湖南省第十三届人民代表大会常务委员会第三十四次会议通过）第二条第二款：乡镇人民政府、街道办事处应当落实属地责任，负责本辖区内居民自建房安全监督管理工作，对居民自建房的安全进行日常监管，开展居民自建房安全管理有关法律法规和安全知识的宣传，建立健全房屋安全管理员 、网格化动态管理等制度，及时制止违法建设和其他危害房屋安全的行为。</w:t>
            </w:r>
          </w:p>
        </w:tc>
        <w:tc>
          <w:tcPr>
            <w:tcW w:w="1156" w:type="dxa"/>
            <w:vAlign w:val="center"/>
          </w:tcPr>
          <w:p w14:paraId="27549B9E">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沅陵县筲箕湾镇</w:t>
            </w:r>
            <w:r>
              <w:rPr>
                <w:rFonts w:hint="eastAsia" w:ascii="仿宋" w:hAnsi="仿宋" w:eastAsia="仿宋" w:cs="仿宋"/>
                <w:color w:val="000000"/>
                <w:kern w:val="0"/>
                <w:sz w:val="21"/>
                <w:szCs w:val="21"/>
                <w:highlight w:val="none"/>
                <w:lang w:val="en-US" w:eastAsia="zh-CN"/>
              </w:rPr>
              <w:t>人民政府</w:t>
            </w:r>
          </w:p>
        </w:tc>
        <w:tc>
          <w:tcPr>
            <w:tcW w:w="1133" w:type="dxa"/>
            <w:vAlign w:val="center"/>
          </w:tcPr>
          <w:p w14:paraId="44208074">
            <w:pPr>
              <w:keepNext w:val="0"/>
              <w:keepLines w:val="0"/>
              <w:widowControl/>
              <w:suppressLineNumbers w:val="0"/>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筲箕湾镇农业综合服务中心、</w:t>
            </w:r>
            <w:r>
              <w:rPr>
                <w:rFonts w:ascii="仿宋" w:hAnsi="仿宋" w:eastAsia="仿宋" w:cs="仿宋"/>
                <w:color w:val="000000"/>
                <w:kern w:val="0"/>
                <w:sz w:val="21"/>
                <w:szCs w:val="21"/>
                <w:highlight w:val="none"/>
                <w:lang w:val="en-US" w:eastAsia="zh-CN"/>
              </w:rPr>
              <w:t>筲箕湾镇生态环境办公室</w:t>
            </w:r>
          </w:p>
        </w:tc>
        <w:tc>
          <w:tcPr>
            <w:tcW w:w="2072" w:type="dxa"/>
            <w:vAlign w:val="center"/>
          </w:tcPr>
          <w:p w14:paraId="5E614CC4">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1372FC7C">
            <w:pPr>
              <w:keepNext w:val="0"/>
              <w:keepLines w:val="0"/>
              <w:widowControl/>
              <w:suppressLineNumbers w:val="0"/>
              <w:jc w:val="center"/>
              <w:rPr>
                <w:rFonts w:hint="eastAsia" w:ascii="仿宋" w:hAnsi="仿宋" w:eastAsia="仿宋" w:cs="仿宋"/>
                <w:color w:val="000000"/>
                <w:kern w:val="0"/>
                <w:sz w:val="21"/>
                <w:szCs w:val="21"/>
                <w:lang w:val="en-US" w:eastAsia="zh-CN"/>
              </w:rPr>
            </w:pPr>
          </w:p>
        </w:tc>
      </w:tr>
    </w:tbl>
    <w:p w14:paraId="46F936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jc w:val="both"/>
        <w:rPr>
          <w:rFonts w:hint="eastAsia" w:ascii="仿宋" w:hAnsi="仿宋" w:eastAsia="仿宋" w:cs="仿宋"/>
          <w:sz w:val="32"/>
          <w:szCs w:val="32"/>
        </w:rPr>
      </w:pPr>
    </w:p>
    <w:sectPr>
      <w:type w:val="continuous"/>
      <w:pgSz w:w="16838" w:h="11906" w:orient="landscape"/>
      <w:pgMar w:top="1134" w:right="1440" w:bottom="1134" w:left="1440" w:header="851" w:footer="992" w:gutter="0"/>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汉仪仿宋简"/>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 w:name="方正兰亭黑_GBK">
    <w:panose1 w:val="02000000000000000000"/>
    <w:charset w:val="86"/>
    <w:family w:val="script"/>
    <w:pitch w:val="default"/>
    <w:sig w:usb0="A00002BF" w:usb1="3ACF7CFA" w:usb2="00080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E3F8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2" name="文本框 2"/>
              <wp:cNvGraphicFramePr/>
              <a:graphic xmlns:a="http://schemas.openxmlformats.org/drawingml/2006/main">
                <a:graphicData uri="http://schemas.microsoft.com/office/word/2010/wordprocessingShape">
                  <wps:wsp>
                    <wps:cNvSpPr/>
                    <wps:spPr>
                      <a:xfrm>
                        <a:off x="0" y="0"/>
                        <a:ext cx="145442" cy="133052"/>
                      </a:xfrm>
                      <a:prstGeom prst="rect">
                        <a:avLst/>
                      </a:prstGeom>
                      <a:noFill/>
                      <a:ln w="6350" cap="flat" cmpd="sng">
                        <a:noFill/>
                        <a:prstDash val="solid"/>
                        <a:round/>
                      </a:ln>
                    </wps:spPr>
                    <wps:txbx>
                      <w:txbxContent>
                        <w:p w14:paraId="3A92FFC6">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Qb7h1QAAAAMBAAAPAAAAAAAAAAEAIAAAACIAAABkcnMvZG93&#10;bnJldi54bWxQSwECFAAUAAAACACHTuJA2NN6yAMCAAD0AwAADgAAAAAAAAABACAAAAAkAQAAZHJz&#10;L2Uyb0RvYy54bWxQSwUGAAAAAAYABgBZAQAAmQUAAAAA&#10;">
              <v:fill on="f" focussize="0,0"/>
              <v:stroke on="f" weight="0.5pt" joinstyle="round"/>
              <v:imagedata o:title=""/>
              <o:lock v:ext="edit" aspectratio="f"/>
              <v:textbox inset="0mm,0mm,0mm,0mm" style="mso-fit-shape-to-text:t;">
                <w:txbxContent>
                  <w:p w14:paraId="3A92FFC6">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45F161C7"/>
    <w:rsid w:val="BDCE6379"/>
    <w:rsid w:val="D5FF1C33"/>
    <w:rsid w:val="FFB79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character" w:customStyle="1" w:styleId="12">
    <w:name w:val="heading 1 Char"/>
    <w:basedOn w:val="10"/>
    <w:link w:val="2"/>
    <w:qFormat/>
    <w:uiPriority w:val="0"/>
    <w:rPr>
      <w:rFonts w:ascii="Calibri" w:hAnsi="Calibri" w:eastAsia="宋体" w:cs="Arial"/>
      <w:b/>
      <w:bCs/>
      <w:kern w:val="44"/>
      <w:sz w:val="44"/>
      <w:szCs w:val="44"/>
      <w:lang w:val="en-US" w:eastAsia="zh-CN" w:bidi="ar-SA"/>
    </w:rPr>
  </w:style>
  <w:style w:type="character" w:customStyle="1" w:styleId="13">
    <w:name w:val="heading 2 Char"/>
    <w:basedOn w:val="10"/>
    <w:link w:val="3"/>
    <w:qFormat/>
    <w:uiPriority w:val="0"/>
    <w:rPr>
      <w:rFonts w:ascii="方正兰亭黑_GBK" w:hAnsi="方正兰亭黑_GBK" w:eastAsia="黑体" w:cs="Arial"/>
      <w:b/>
      <w:bCs/>
      <w:kern w:val="2"/>
      <w:sz w:val="32"/>
      <w:szCs w:val="32"/>
      <w:lang w:val="en-US" w:eastAsia="zh-CN" w:bidi="ar-SA"/>
    </w:rPr>
  </w:style>
  <w:style w:type="character" w:customStyle="1" w:styleId="14">
    <w:name w:val="heading 3 Char"/>
    <w:basedOn w:val="10"/>
    <w:link w:val="4"/>
    <w:qFormat/>
    <w:uiPriority w:val="0"/>
    <w:rPr>
      <w:rFonts w:ascii="Calibri" w:hAnsi="Calibri" w:eastAsia="宋体" w:cs="Arial"/>
      <w:b/>
      <w:bCs/>
      <w:kern w:val="2"/>
      <w:sz w:val="32"/>
      <w:szCs w:val="32"/>
      <w:lang w:val="en-US" w:eastAsia="zh-CN" w:bidi="ar-SA"/>
    </w:rPr>
  </w:style>
  <w:style w:type="character" w:customStyle="1" w:styleId="15">
    <w:name w:val="font61"/>
    <w:basedOn w:val="10"/>
    <w:qFormat/>
    <w:uiPriority w:val="0"/>
    <w:rPr>
      <w:rFonts w:ascii="仿宋_GB2312" w:eastAsia="仿宋_GB2312" w:cs="仿宋_GB2312"/>
      <w:b/>
      <w:bCs/>
      <w:color w:val="000000"/>
      <w:sz w:val="24"/>
      <w:szCs w:val="24"/>
      <w:u w:val="none"/>
    </w:rPr>
  </w:style>
  <w:style w:type="character" w:customStyle="1" w:styleId="16">
    <w:name w:val="font41"/>
    <w:basedOn w:val="10"/>
    <w:qFormat/>
    <w:uiPriority w:val="0"/>
    <w:rPr>
      <w:rFonts w:ascii="仿宋_GB2312" w:eastAsia="仿宋_GB2312" w:cs="仿宋_GB2312"/>
      <w:color w:val="000000"/>
      <w:sz w:val="24"/>
      <w:szCs w:val="24"/>
      <w:u w:val="none"/>
    </w:rPr>
  </w:style>
  <w:style w:type="character" w:customStyle="1" w:styleId="17">
    <w:name w:val="font31"/>
    <w:basedOn w:val="10"/>
    <w:qFormat/>
    <w:uiPriority w:val="0"/>
    <w:rPr>
      <w:rFonts w:ascii="仿宋_GB2312" w:eastAsia="仿宋_GB2312" w:cs="仿宋_GB2312"/>
      <w:color w:val="000000"/>
      <w:sz w:val="24"/>
      <w:szCs w:val="24"/>
      <w:u w:val="none"/>
    </w:rPr>
  </w:style>
  <w:style w:type="character" w:customStyle="1" w:styleId="18">
    <w:name w:val="font71"/>
    <w:basedOn w:val="10"/>
    <w:qFormat/>
    <w:uiPriority w:val="0"/>
    <w:rPr>
      <w:rFonts w:ascii="仿宋_GB2312" w:eastAsia="仿宋_GB2312" w:cs="仿宋_GB2312"/>
      <w:color w:val="000000"/>
      <w:sz w:val="20"/>
      <w:szCs w:val="20"/>
      <w:u w:val="none"/>
    </w:rPr>
  </w:style>
  <w:style w:type="character" w:customStyle="1" w:styleId="19">
    <w:name w:val="font91"/>
    <w:basedOn w:val="10"/>
    <w:qFormat/>
    <w:uiPriority w:val="0"/>
    <w:rPr>
      <w:rFonts w:ascii="仿宋_GB2312" w:eastAsia="仿宋_GB2312" w:cs="仿宋_GB2312"/>
      <w:b/>
      <w:bCs/>
      <w:color w:val="000000"/>
      <w:sz w:val="20"/>
      <w:szCs w:val="20"/>
      <w:u w:val="none"/>
    </w:rPr>
  </w:style>
  <w:style w:type="character" w:customStyle="1" w:styleId="20">
    <w:name w:val="font101"/>
    <w:basedOn w:val="10"/>
    <w:qFormat/>
    <w:uiPriority w:val="0"/>
    <w:rPr>
      <w:rFonts w:ascii="仿宋_GB2312" w:eastAsia="仿宋_GB2312" w:cs="仿宋_GB2312"/>
      <w:b/>
      <w:bCs/>
      <w:color w:val="FF0000"/>
      <w:sz w:val="20"/>
      <w:szCs w:val="20"/>
      <w:u w:val="none"/>
    </w:rPr>
  </w:style>
  <w:style w:type="character" w:customStyle="1" w:styleId="21">
    <w:name w:val="font51"/>
    <w:basedOn w:val="10"/>
    <w:qFormat/>
    <w:uiPriority w:val="0"/>
    <w:rPr>
      <w:rFonts w:ascii="仿宋_GB2312" w:eastAsia="仿宋_GB2312" w:cs="仿宋_GB2312"/>
      <w:color w:val="000000"/>
      <w:sz w:val="20"/>
      <w:szCs w:val="20"/>
      <w:u w:val="none"/>
    </w:rPr>
  </w:style>
  <w:style w:type="character" w:customStyle="1" w:styleId="22">
    <w:name w:val="font81"/>
    <w:basedOn w:val="10"/>
    <w:qFormat/>
    <w:uiPriority w:val="0"/>
    <w:rPr>
      <w:rFonts w:ascii="仿宋_GB2312" w:eastAsia="仿宋_GB2312" w:cs="仿宋_GB2312"/>
      <w:b/>
      <w:bCs/>
      <w:color w:val="FF0000"/>
      <w:sz w:val="20"/>
      <w:szCs w:val="20"/>
      <w:u w:val="none"/>
    </w:rPr>
  </w:style>
  <w:style w:type="paragraph" w:customStyle="1" w:styleId="23">
    <w:name w:val="p0"/>
    <w:basedOn w:val="1"/>
    <w:qFormat/>
    <w:uiPriority w:val="0"/>
    <w:pPr>
      <w:widowControl/>
    </w:pPr>
    <w:rPr>
      <w:rFonts w:cs="Calibri"/>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26650 1 1 1 1 1"/>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0CD47-FCF0-4056-A576-F12983ECAA58}">
  <ds:schemaRefs/>
</ds:datastoreItem>
</file>

<file path=docProps/app.xml><?xml version="1.0" encoding="utf-8"?>
<Properties xmlns="http://schemas.openxmlformats.org/officeDocument/2006/extended-properties" xmlns:vt="http://schemas.openxmlformats.org/officeDocument/2006/docPropsVTypes">
  <Template>Normal.eit</Template>
  <Pages>9</Pages>
  <Words>0</Words>
  <Characters>6081</Characters>
  <Lines>0</Lines>
  <Paragraphs>23</Paragraphs>
  <TotalTime>244</TotalTime>
  <ScaleCrop>false</ScaleCrop>
  <LinksUpToDate>false</LinksUpToDate>
  <CharactersWithSpaces>8109</CharactersWithSpaces>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2025-10-17T12:00:00Z</dcterms:created>
  <dc:creator>Administrator</dc:creator>
  <cp:lastModifiedBy>xlc250103d14</cp:lastModifiedBy>
  <cp:lastPrinted>2025-11-26T12:39:00Z</cp:lastPrinted>
  <dcterms:modified xsi:type="dcterms:W3CDTF">2025-11-27T16:28:33Z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eyJoZGlkIjoiNWI5ZGY0N2NlNWRmMTlkYjM3YzFlYTgxNjVlNTFlODAiLCJ1c2VySWQiOiIyNjgzMTA0NzkifQ==</vt:lpwstr>
  </property>
  <property fmtid="{D5CDD505-2E9C-101B-9397-08002B2CF9AE}" pid="4" name="ICV">
    <vt:lpwstr>169A813DE7D645D7929DBCD794FC8627_13</vt:lpwstr>
  </property>
</Properties>
</file>