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86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right="0" w:firstLine="0"/>
        <w:jc w:val="both"/>
        <w:textAlignment w:val="auto"/>
        <w:rPr>
          <w:rFonts w:hint="eastAsia" w:ascii="仿宋_GB2312" w:hAnsi="仿宋_GB2312" w:eastAsia="仿宋_GB2312" w:cs="仿宋_GB2312"/>
          <w:sz w:val="32"/>
          <w:szCs w:val="32"/>
          <w:lang w:val="en-US" w:eastAsia="zh-CN"/>
        </w:rPr>
        <w:sectPr>
          <w:footerReference r:id="rId3" w:type="default"/>
          <w:pgSz w:w="16838" w:h="11906" w:orient="landscape"/>
          <w:pgMar w:top="1531" w:right="1701" w:bottom="1531" w:left="1417" w:header="851" w:footer="992" w:gutter="0"/>
          <w:cols w:space="0" w:num="1"/>
          <w:rtlGutter w:val="1"/>
          <w:docGrid w:type="lines" w:linePitch="312" w:charSpace="0"/>
        </w:sectPr>
      </w:pPr>
      <w:bookmarkStart w:id="0" w:name="_GoBack"/>
      <w:bookmarkEnd w:id="0"/>
    </w:p>
    <w:p w14:paraId="486681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both"/>
        <w:rPr>
          <w:rFonts w:hint="eastAsia" w:ascii="仿宋" w:hAnsi="仿宋" w:eastAsia="仿宋" w:cs="仿宋"/>
          <w:sz w:val="32"/>
          <w:szCs w:val="32"/>
          <w:lang w:val="en-US" w:eastAsia="zh-CN"/>
        </w:rPr>
        <w:sectPr>
          <w:type w:val="continuous"/>
          <w:pgSz w:w="16838" w:h="11906" w:orient="landscape"/>
          <w:pgMar w:top="1417" w:right="1440" w:bottom="1417" w:left="1440" w:header="851" w:footer="992" w:gutter="0"/>
          <w:cols w:space="0" w:num="1"/>
          <w:rtlGutter w:val="1"/>
          <w:docGrid w:type="lines" w:linePitch="312" w:charSpace="0"/>
        </w:sectPr>
      </w:pPr>
      <w:r>
        <w:rPr>
          <w:rFonts w:hint="eastAsia" w:ascii="仿宋" w:hAnsi="仿宋" w:eastAsia="仿宋" w:cs="仿宋"/>
          <w:sz w:val="32"/>
          <w:szCs w:val="32"/>
          <w:lang w:val="en-US" w:eastAsia="zh-CN"/>
        </w:rPr>
        <w:t>附件1：</w:t>
      </w:r>
    </w:p>
    <w:p w14:paraId="41A8AE07">
      <w:pPr>
        <w:keepNext w:val="0"/>
        <w:keepLines w:val="0"/>
        <w:widowControl/>
        <w:suppressLineNumbers w:val="0"/>
        <w:spacing w:afterAutospacing="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val="en-US" w:eastAsia="zh-CN"/>
        </w:rPr>
        <w:t>沅陵县官庄镇行政执法事项目录</w:t>
      </w:r>
    </w:p>
    <w:p w14:paraId="1DA88139">
      <w:pPr>
        <w:ind w:left="-315"/>
        <w:rPr>
          <w:rFonts w:hint="default" w:ascii="方正小标宋简体" w:hAnsi="方正小标宋简体" w:eastAsia="宋体" w:cs="方正小标宋简体"/>
          <w:color w:val="000000"/>
          <w:kern w:val="0"/>
          <w:sz w:val="40"/>
          <w:szCs w:val="40"/>
          <w:lang w:val="en-US" w:eastAsia="zh-CN"/>
        </w:rPr>
      </w:pPr>
      <w:r>
        <w:rPr>
          <w:rFonts w:hint="eastAsia"/>
        </w:rPr>
        <w:t>填报单位（盖章）：</w:t>
      </w:r>
      <w:r>
        <w:rPr>
          <w:rFonts w:hint="eastAsia"/>
          <w:lang w:val="en-US" w:eastAsia="zh-CN"/>
        </w:rPr>
        <w:t>官庄</w:t>
      </w:r>
      <w:r>
        <w:t>镇人民政府</w:t>
      </w:r>
      <w:r>
        <w:rPr>
          <w:rFonts w:hint="eastAsia"/>
          <w:lang w:val="en-US" w:eastAsia="zh-CN"/>
        </w:rPr>
        <w:t xml:space="preserve">                                              </w:t>
      </w:r>
      <w:r>
        <w:rPr>
          <w:lang w:val="en-US" w:eastAsia="zh-CN"/>
        </w:rPr>
        <w:t xml:space="preserve">         </w:t>
      </w:r>
      <w:r>
        <w:rPr>
          <w:rFonts w:hint="eastAsia"/>
          <w:lang w:val="en-US" w:eastAsia="zh-CN"/>
        </w:rPr>
        <w:t xml:space="preserve">            </w:t>
      </w:r>
      <w:r>
        <w:rPr>
          <w:rFonts w:hint="eastAsia"/>
        </w:rPr>
        <w:t>联系人及联系电话：</w:t>
      </w:r>
      <w:r>
        <w:rPr>
          <w:rFonts w:hint="eastAsia"/>
          <w:lang w:val="en-US" w:eastAsia="zh-CN"/>
        </w:rPr>
        <w:t>吴丽琴</w:t>
      </w:r>
      <w:r>
        <w:t>1</w:t>
      </w:r>
      <w:r>
        <w:rPr>
          <w:rFonts w:hint="eastAsia"/>
          <w:lang w:val="en-US" w:eastAsia="zh-CN"/>
        </w:rPr>
        <w:t>8274543550</w:t>
      </w:r>
    </w:p>
    <w:tbl>
      <w:tblPr>
        <w:tblStyle w:val="9"/>
        <w:tblW w:w="14496"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45"/>
        <w:gridCol w:w="1788"/>
        <w:gridCol w:w="4570"/>
        <w:gridCol w:w="1156"/>
        <w:gridCol w:w="1133"/>
        <w:gridCol w:w="2072"/>
        <w:gridCol w:w="1845"/>
      </w:tblGrid>
      <w:tr w14:paraId="0234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Merge w:val="restart"/>
            <w:vAlign w:val="center"/>
          </w:tcPr>
          <w:p w14:paraId="4EAB9AA5">
            <w:pPr>
              <w:keepNext w:val="0"/>
              <w:keepLines w:val="0"/>
              <w:widowControl/>
              <w:suppressLineNumbers w:val="0"/>
              <w:spacing w:line="240" w:lineRule="auto"/>
              <w:jc w:val="center"/>
              <w:rPr>
                <w:rFonts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序号</w:t>
            </w:r>
          </w:p>
        </w:tc>
        <w:tc>
          <w:tcPr>
            <w:tcW w:w="1145" w:type="dxa"/>
            <w:vMerge w:val="restart"/>
            <w:vAlign w:val="center"/>
          </w:tcPr>
          <w:p w14:paraId="045F15BC">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执法</w:t>
            </w:r>
            <w:r>
              <w:rPr>
                <w:rFonts w:hint="eastAsia" w:ascii="黑体" w:hAnsi="宋体" w:eastAsia="黑体" w:cs="黑体"/>
                <w:b w:val="0"/>
                <w:bCs w:val="0"/>
                <w:color w:val="000000"/>
                <w:kern w:val="0"/>
                <w:sz w:val="22"/>
                <w:szCs w:val="22"/>
                <w:lang w:val="en-US" w:eastAsia="zh-CN"/>
              </w:rPr>
              <w:t>类别</w:t>
            </w:r>
          </w:p>
        </w:tc>
        <w:tc>
          <w:tcPr>
            <w:tcW w:w="1788" w:type="dxa"/>
            <w:vMerge w:val="restart"/>
            <w:vAlign w:val="center"/>
          </w:tcPr>
          <w:p w14:paraId="705AFC1D">
            <w:pPr>
              <w:keepNext w:val="0"/>
              <w:keepLines w:val="0"/>
              <w:widowControl/>
              <w:suppressLineNumbers w:val="0"/>
              <w:jc w:val="center"/>
              <w:rPr>
                <w:rFonts w:hint="eastAsia"/>
              </w:rPr>
            </w:pPr>
            <w:r>
              <w:rPr>
                <w:rFonts w:ascii="黑体" w:hAnsi="宋体" w:eastAsia="黑体" w:cs="黑体"/>
                <w:b w:val="0"/>
                <w:bCs w:val="0"/>
                <w:color w:val="000000"/>
                <w:kern w:val="0"/>
                <w:sz w:val="22"/>
                <w:szCs w:val="22"/>
                <w:lang w:val="en-US" w:eastAsia="zh-CN"/>
              </w:rPr>
              <w:t>执法事项名称</w:t>
            </w:r>
          </w:p>
        </w:tc>
        <w:tc>
          <w:tcPr>
            <w:tcW w:w="4570" w:type="dxa"/>
            <w:vMerge w:val="restart"/>
            <w:vAlign w:val="center"/>
          </w:tcPr>
          <w:p w14:paraId="0A01BED8">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执</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法</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依</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据</w:t>
            </w:r>
          </w:p>
        </w:tc>
        <w:tc>
          <w:tcPr>
            <w:tcW w:w="1156" w:type="dxa"/>
            <w:vMerge w:val="restart"/>
            <w:vAlign w:val="center"/>
          </w:tcPr>
          <w:p w14:paraId="5EEBDF61">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执法主体</w:t>
            </w:r>
          </w:p>
        </w:tc>
        <w:tc>
          <w:tcPr>
            <w:tcW w:w="1133" w:type="dxa"/>
            <w:vMerge w:val="restart"/>
            <w:vAlign w:val="center"/>
          </w:tcPr>
          <w:p w14:paraId="6B901B34">
            <w:pPr>
              <w:keepNext w:val="0"/>
              <w:keepLines w:val="0"/>
              <w:widowControl/>
              <w:suppressLineNumbers w:val="0"/>
              <w:rPr>
                <w:rFonts w:hint="eastAsia"/>
              </w:rPr>
            </w:pPr>
            <w:r>
              <w:rPr>
                <w:rFonts w:ascii="黑体" w:hAnsi="宋体" w:eastAsia="黑体" w:cs="黑体"/>
                <w:b w:val="0"/>
                <w:bCs w:val="0"/>
                <w:color w:val="000000"/>
                <w:kern w:val="0"/>
                <w:sz w:val="22"/>
                <w:szCs w:val="22"/>
                <w:lang w:val="en-US" w:eastAsia="zh-CN"/>
              </w:rPr>
              <w:t>承办机构</w:t>
            </w:r>
          </w:p>
        </w:tc>
        <w:tc>
          <w:tcPr>
            <w:tcW w:w="3917" w:type="dxa"/>
            <w:gridSpan w:val="2"/>
            <w:vAlign w:val="center"/>
          </w:tcPr>
          <w:p w14:paraId="59093D71">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ascii="黑体" w:hAnsi="宋体" w:eastAsia="黑体" w:cs="黑体"/>
                <w:b w:val="0"/>
                <w:bCs w:val="0"/>
                <w:color w:val="000000"/>
                <w:kern w:val="0"/>
                <w:sz w:val="22"/>
                <w:szCs w:val="22"/>
                <w:lang w:val="en-US" w:eastAsia="zh-CN"/>
              </w:rPr>
              <w:t>备</w:t>
            </w:r>
            <w:r>
              <w:rPr>
                <w:rFonts w:hint="eastAsia" w:ascii="黑体" w:hAnsi="宋体" w:eastAsia="黑体" w:cs="黑体"/>
                <w:b w:val="0"/>
                <w:bCs w:val="0"/>
                <w:color w:val="000000"/>
                <w:kern w:val="0"/>
                <w:sz w:val="22"/>
                <w:szCs w:val="22"/>
                <w:lang w:val="en-US" w:eastAsia="zh-CN"/>
              </w:rPr>
              <w:t xml:space="preserve">  </w:t>
            </w:r>
            <w:r>
              <w:rPr>
                <w:rFonts w:ascii="黑体" w:hAnsi="宋体" w:eastAsia="黑体" w:cs="黑体"/>
                <w:b w:val="0"/>
                <w:bCs w:val="0"/>
                <w:color w:val="000000"/>
                <w:kern w:val="0"/>
                <w:sz w:val="22"/>
                <w:szCs w:val="22"/>
                <w:lang w:val="en-US" w:eastAsia="zh-CN"/>
              </w:rPr>
              <w:t>注</w:t>
            </w:r>
          </w:p>
        </w:tc>
      </w:tr>
      <w:tr w14:paraId="19CB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87" w:type="dxa"/>
            <w:vMerge w:val="continue"/>
            <w:vAlign w:val="center"/>
          </w:tcPr>
          <w:p w14:paraId="4F0B71A0"/>
        </w:tc>
        <w:tc>
          <w:tcPr>
            <w:tcW w:w="1145" w:type="dxa"/>
            <w:vMerge w:val="continue"/>
            <w:vAlign w:val="center"/>
          </w:tcPr>
          <w:p w14:paraId="72044181"/>
        </w:tc>
        <w:tc>
          <w:tcPr>
            <w:tcW w:w="1788" w:type="dxa"/>
            <w:vMerge w:val="continue"/>
            <w:vAlign w:val="center"/>
          </w:tcPr>
          <w:p w14:paraId="32808FEA"/>
        </w:tc>
        <w:tc>
          <w:tcPr>
            <w:tcW w:w="4570" w:type="dxa"/>
            <w:vMerge w:val="continue"/>
            <w:vAlign w:val="center"/>
          </w:tcPr>
          <w:p w14:paraId="7138D51A"/>
        </w:tc>
        <w:tc>
          <w:tcPr>
            <w:tcW w:w="1156" w:type="dxa"/>
            <w:vMerge w:val="continue"/>
            <w:vAlign w:val="center"/>
          </w:tcPr>
          <w:p w14:paraId="731DDCDF"/>
        </w:tc>
        <w:tc>
          <w:tcPr>
            <w:tcW w:w="1133" w:type="dxa"/>
            <w:vMerge w:val="continue"/>
            <w:vAlign w:val="center"/>
          </w:tcPr>
          <w:p w14:paraId="096E26F3"/>
        </w:tc>
        <w:tc>
          <w:tcPr>
            <w:tcW w:w="2072" w:type="dxa"/>
            <w:vAlign w:val="center"/>
          </w:tcPr>
          <w:p w14:paraId="6C9B76DA">
            <w:pPr>
              <w:keepNext w:val="0"/>
              <w:keepLines w:val="0"/>
              <w:widowControl/>
              <w:suppressLineNumbers w:val="0"/>
              <w:spacing w:line="240" w:lineRule="auto"/>
              <w:ind w:firstLine="440" w:firstLineChars="200"/>
              <w:jc w:val="both"/>
              <w:rPr>
                <w:b w:val="0"/>
                <w:bCs w:val="0"/>
              </w:rPr>
            </w:pPr>
            <w:r>
              <w:rPr>
                <w:rFonts w:ascii="黑体" w:hAnsi="宋体" w:eastAsia="黑体" w:cs="黑体"/>
                <w:b w:val="0"/>
                <w:bCs w:val="0"/>
                <w:color w:val="000000"/>
                <w:kern w:val="0"/>
                <w:sz w:val="22"/>
                <w:szCs w:val="22"/>
                <w:lang w:val="en-US" w:eastAsia="zh-CN"/>
              </w:rPr>
              <w:t>法律法规</w:t>
            </w:r>
          </w:p>
          <w:p w14:paraId="23ECB4DC">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规章授权</w:t>
            </w:r>
          </w:p>
        </w:tc>
        <w:tc>
          <w:tcPr>
            <w:tcW w:w="1845" w:type="dxa"/>
            <w:vAlign w:val="center"/>
          </w:tcPr>
          <w:p w14:paraId="74FAAEC7">
            <w:pPr>
              <w:keepNext w:val="0"/>
              <w:keepLines w:val="0"/>
              <w:widowControl/>
              <w:suppressLineNumbers w:val="0"/>
              <w:spacing w:line="240" w:lineRule="auto"/>
              <w:ind w:left="0"/>
              <w:jc w:val="center"/>
              <w:rPr>
                <w:rFonts w:ascii="黑体" w:hAnsi="宋体" w:eastAsia="黑体" w:cs="黑体"/>
                <w:b w:val="0"/>
                <w:bCs w:val="0"/>
                <w:color w:val="000000"/>
                <w:kern w:val="0"/>
                <w:sz w:val="22"/>
                <w:szCs w:val="22"/>
                <w:lang w:val="en-US" w:eastAsia="zh-CN"/>
              </w:rPr>
            </w:pPr>
            <w:r>
              <w:rPr>
                <w:rFonts w:ascii="黑体" w:hAnsi="宋体" w:eastAsia="黑体" w:cs="黑体"/>
                <w:b w:val="0"/>
                <w:bCs w:val="0"/>
                <w:color w:val="000000"/>
                <w:kern w:val="0"/>
                <w:sz w:val="22"/>
                <w:szCs w:val="22"/>
                <w:lang w:val="en-US" w:eastAsia="zh-CN"/>
              </w:rPr>
              <w:t>省政府决</w:t>
            </w:r>
          </w:p>
          <w:p w14:paraId="44E75B19">
            <w:pPr>
              <w:keepNext w:val="0"/>
              <w:keepLines w:val="0"/>
              <w:widowControl/>
              <w:suppressLineNumbers w:val="0"/>
              <w:spacing w:line="240" w:lineRule="auto"/>
              <w:jc w:val="center"/>
              <w:rPr>
                <w:rFonts w:hint="eastAsia" w:ascii="宋体" w:hAnsi="宋体" w:eastAsia="宋体" w:cs="宋体"/>
                <w:b w:val="0"/>
                <w:bCs w:val="0"/>
                <w:color w:val="000000"/>
                <w:kern w:val="0"/>
                <w:sz w:val="20"/>
                <w:szCs w:val="20"/>
                <w:vertAlign w:val="baseline"/>
                <w:lang w:val="en-US" w:eastAsia="zh-CN"/>
              </w:rPr>
            </w:pPr>
            <w:r>
              <w:rPr>
                <w:rFonts w:hint="eastAsia" w:ascii="黑体" w:hAnsi="宋体" w:eastAsia="黑体" w:cs="黑体"/>
                <w:b w:val="0"/>
                <w:bCs w:val="0"/>
                <w:color w:val="000000"/>
                <w:kern w:val="0"/>
                <w:sz w:val="22"/>
                <w:szCs w:val="22"/>
                <w:lang w:val="en-US" w:eastAsia="zh-CN"/>
              </w:rPr>
              <w:t>定</w:t>
            </w:r>
            <w:r>
              <w:rPr>
                <w:rFonts w:ascii="黑体" w:hAnsi="宋体" w:eastAsia="黑体" w:cs="黑体"/>
                <w:b w:val="0"/>
                <w:bCs w:val="0"/>
                <w:color w:val="000000"/>
                <w:kern w:val="0"/>
                <w:sz w:val="22"/>
                <w:szCs w:val="22"/>
                <w:lang w:val="en-US" w:eastAsia="zh-CN"/>
              </w:rPr>
              <w:t xml:space="preserve"> </w:t>
            </w:r>
            <w:r>
              <w:rPr>
                <w:rFonts w:hint="eastAsia" w:ascii="黑体" w:hAnsi="宋体" w:eastAsia="黑体" w:cs="黑体"/>
                <w:b w:val="0"/>
                <w:bCs w:val="0"/>
                <w:color w:val="000000"/>
                <w:kern w:val="0"/>
                <w:sz w:val="22"/>
                <w:szCs w:val="22"/>
                <w:lang w:val="en-US" w:eastAsia="zh-CN"/>
              </w:rPr>
              <w:t>赋</w:t>
            </w:r>
            <w:r>
              <w:rPr>
                <w:rFonts w:ascii="黑体" w:hAnsi="宋体" w:eastAsia="黑体" w:cs="黑体"/>
                <w:b w:val="0"/>
                <w:bCs w:val="0"/>
                <w:color w:val="000000"/>
                <w:kern w:val="0"/>
                <w:sz w:val="22"/>
                <w:szCs w:val="22"/>
                <w:lang w:val="en-US" w:eastAsia="zh-CN"/>
              </w:rPr>
              <w:t xml:space="preserve"> </w:t>
            </w:r>
            <w:r>
              <w:rPr>
                <w:rFonts w:hint="eastAsia" w:ascii="黑体" w:hAnsi="宋体" w:eastAsia="黑体" w:cs="黑体"/>
                <w:b w:val="0"/>
                <w:bCs w:val="0"/>
                <w:color w:val="000000"/>
                <w:kern w:val="0"/>
                <w:sz w:val="22"/>
                <w:szCs w:val="22"/>
                <w:lang w:val="en-US" w:eastAsia="zh-CN"/>
              </w:rPr>
              <w:t>权</w:t>
            </w:r>
          </w:p>
        </w:tc>
      </w:tr>
      <w:tr w14:paraId="644A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787" w:type="dxa"/>
            <w:vAlign w:val="center"/>
          </w:tcPr>
          <w:p w14:paraId="1105CDAF">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r>
              <w:rPr>
                <w:rFonts w:ascii="仿宋" w:hAnsi="仿宋" w:eastAsia="仿宋" w:cs="仿宋"/>
                <w:color w:val="000000"/>
                <w:kern w:val="0"/>
                <w:sz w:val="21"/>
                <w:szCs w:val="21"/>
                <w:vertAlign w:val="baseline"/>
                <w:lang w:val="en-US" w:eastAsia="zh-CN"/>
              </w:rPr>
              <w:t>1</w:t>
            </w:r>
          </w:p>
        </w:tc>
        <w:tc>
          <w:tcPr>
            <w:tcW w:w="1145" w:type="dxa"/>
            <w:vAlign w:val="center"/>
          </w:tcPr>
          <w:p w14:paraId="63189495">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208D4032">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07BB7A59">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05BDD23D">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农村村民在村庄、集镇规划区使用原有耕地、宅基地、村内空闲地建设住宅审批</w:t>
            </w:r>
          </w:p>
          <w:p w14:paraId="53F37723">
            <w:pPr>
              <w:keepNext w:val="0"/>
              <w:keepLines w:val="0"/>
              <w:widowControl/>
              <w:suppressLineNumbers w:val="0"/>
              <w:jc w:val="left"/>
              <w:rPr>
                <w:rFonts w:hint="eastAsia" w:ascii="仿宋" w:hAnsi="仿宋" w:eastAsia="仿宋" w:cs="仿宋"/>
                <w:color w:val="000000"/>
                <w:kern w:val="0"/>
                <w:sz w:val="21"/>
                <w:szCs w:val="21"/>
                <w:lang w:val="en-US" w:eastAsia="zh-CN"/>
              </w:rPr>
            </w:pPr>
          </w:p>
        </w:tc>
        <w:tc>
          <w:tcPr>
            <w:tcW w:w="4570" w:type="dxa"/>
            <w:vAlign w:val="center"/>
          </w:tcPr>
          <w:p w14:paraId="69BC62D7">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十八条：农村村民在村庄、集镇规划区内建住宅的，应当先向村集体经济组织或者村民委员会提出建房申请，经村民会议讨论通过后，按照下列审批程序办理：（一）需要使用耕地的，经乡级人民政府审核、县级人民政府建设行政主管部门审查同意并出具选址意见书后，方可依照《土地管理法》向县级人民政府土地管理部门申请用地，经县级人民政府批准后，由县级人民政府土地管理部门划拨土地；（二）使用原有宅基地、村内空闲地和其他土地的，由乡级人民政府根据村庄、集镇规划和土地利用规划批准。</w:t>
            </w:r>
          </w:p>
        </w:tc>
        <w:tc>
          <w:tcPr>
            <w:tcW w:w="1156" w:type="dxa"/>
            <w:vAlign w:val="center"/>
          </w:tcPr>
          <w:p w14:paraId="271CBD47">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45C35035">
            <w:pPr>
              <w:keepNext w:val="0"/>
              <w:keepLines w:val="0"/>
              <w:widowControl/>
              <w:suppressLineNumbers w:val="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自然资源所</w:t>
            </w:r>
          </w:p>
        </w:tc>
        <w:tc>
          <w:tcPr>
            <w:tcW w:w="2072" w:type="dxa"/>
            <w:vAlign w:val="center"/>
          </w:tcPr>
          <w:p w14:paraId="52E05B7A">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1A302E5">
            <w:pPr>
              <w:keepNext w:val="0"/>
              <w:keepLines w:val="0"/>
              <w:widowControl/>
              <w:suppressLineNumbers w:val="0"/>
              <w:jc w:val="center"/>
              <w:rPr>
                <w:rFonts w:ascii="仿宋" w:hAnsi="仿宋" w:eastAsia="仿宋" w:cs="仿宋"/>
                <w:color w:val="000000"/>
                <w:kern w:val="0"/>
                <w:sz w:val="21"/>
                <w:szCs w:val="21"/>
                <w:highlight w:val="none"/>
                <w:lang w:val="en-US" w:eastAsia="zh-CN"/>
              </w:rPr>
            </w:pPr>
          </w:p>
        </w:tc>
      </w:tr>
      <w:tr w14:paraId="7694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87" w:type="dxa"/>
            <w:vAlign w:val="center"/>
          </w:tcPr>
          <w:p w14:paraId="00A8EE80">
            <w:pPr>
              <w:keepNext w:val="0"/>
              <w:keepLines w:val="0"/>
              <w:widowControl/>
              <w:suppressLineNumbers w:val="0"/>
              <w:jc w:val="center"/>
              <w:rPr>
                <w:rFonts w:hint="eastAsia" w:ascii="仿宋" w:hAnsi="仿宋" w:eastAsia="仿宋" w:cs="仿宋"/>
                <w:color w:val="000000"/>
                <w:kern w:val="0"/>
                <w:sz w:val="21"/>
                <w:szCs w:val="21"/>
                <w:highlight w:val="none"/>
                <w:vertAlign w:val="baseline"/>
                <w:lang w:val="en-US" w:eastAsia="zh-CN"/>
              </w:rPr>
            </w:pPr>
            <w:r>
              <w:rPr>
                <w:rFonts w:ascii="仿宋" w:hAnsi="仿宋" w:eastAsia="仿宋" w:cs="仿宋"/>
                <w:color w:val="000000"/>
                <w:kern w:val="0"/>
                <w:sz w:val="21"/>
                <w:szCs w:val="21"/>
                <w:highlight w:val="none"/>
                <w:vertAlign w:val="baseline"/>
                <w:lang w:val="en-US" w:eastAsia="zh-CN"/>
              </w:rPr>
              <w:t>2</w:t>
            </w:r>
          </w:p>
        </w:tc>
        <w:tc>
          <w:tcPr>
            <w:tcW w:w="1145" w:type="dxa"/>
            <w:vAlign w:val="center"/>
          </w:tcPr>
          <w:p w14:paraId="188726EB">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p>
          <w:p w14:paraId="4E76FF6C">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rPr>
              <w:t>行政许可</w:t>
            </w:r>
          </w:p>
          <w:p w14:paraId="4261AEEC">
            <w:pPr>
              <w:keepNext w:val="0"/>
              <w:keepLines w:val="0"/>
              <w:widowControl/>
              <w:suppressLineNumbers w:val="0"/>
              <w:jc w:val="center"/>
              <w:rPr>
                <w:rFonts w:hint="eastAsia" w:ascii="仿宋" w:hAnsi="仿宋" w:eastAsia="仿宋" w:cs="仿宋"/>
                <w:color w:val="000000"/>
                <w:kern w:val="0"/>
                <w:sz w:val="21"/>
                <w:szCs w:val="21"/>
                <w:highlight w:val="none"/>
                <w:vertAlign w:val="baseline"/>
                <w:lang w:val="en-US" w:eastAsia="zh-CN"/>
              </w:rPr>
            </w:pPr>
          </w:p>
        </w:tc>
        <w:tc>
          <w:tcPr>
            <w:tcW w:w="1788" w:type="dxa"/>
            <w:vAlign w:val="center"/>
          </w:tcPr>
          <w:p w14:paraId="07E282F3">
            <w:pPr>
              <w:keepNext w:val="0"/>
              <w:keepLines w:val="0"/>
              <w:pageBreakBefore w:val="0"/>
              <w:widowControl/>
              <w:suppressLineNumbers w:val="0"/>
              <w:kinsoku/>
              <w:wordWrap/>
              <w:overflowPunct/>
              <w:topLinePunct w:val="0"/>
              <w:autoSpaceDE/>
              <w:autoSpaceDN/>
              <w:adjustRightInd/>
              <w:snapToGrid/>
              <w:spacing w:line="260" w:lineRule="exact"/>
              <w:rPr>
                <w:rFonts w:hint="eastAsia" w:ascii="仿宋" w:hAnsi="仿宋" w:eastAsia="仿宋" w:cs="仿宋"/>
                <w:color w:val="000000"/>
                <w:kern w:val="0"/>
                <w:sz w:val="21"/>
                <w:szCs w:val="21"/>
                <w:highlight w:val="none"/>
                <w:vertAlign w:val="baseline"/>
                <w:lang w:val="en-US" w:eastAsia="zh-CN"/>
              </w:rPr>
            </w:pPr>
            <w:r>
              <w:rPr>
                <w:rFonts w:hint="eastAsia" w:ascii="仿宋" w:hAnsi="仿宋" w:eastAsia="仿宋" w:cs="仿宋"/>
                <w:color w:val="000000"/>
                <w:kern w:val="0"/>
                <w:sz w:val="21"/>
                <w:szCs w:val="21"/>
                <w:highlight w:val="none"/>
                <w:lang w:val="en-US" w:eastAsia="zh-CN"/>
              </w:rPr>
              <w:t>在村庄、集镇规划区内的街道、广场、市场和车站等场所修建临时建筑物、构筑物和其他设施的许可</w:t>
            </w:r>
          </w:p>
        </w:tc>
        <w:tc>
          <w:tcPr>
            <w:tcW w:w="4570" w:type="dxa"/>
            <w:vAlign w:val="center"/>
          </w:tcPr>
          <w:p w14:paraId="20708DED">
            <w:pPr>
              <w:keepNext w:val="0"/>
              <w:keepLines w:val="0"/>
              <w:widowControl/>
              <w:suppressLineNumbers w:val="0"/>
              <w:rPr>
                <w:rFonts w:hint="eastAsia" w:ascii="仿宋" w:hAnsi="仿宋" w:eastAsia="仿宋" w:cs="仿宋"/>
                <w:color w:val="000000"/>
                <w:kern w:val="0"/>
                <w:sz w:val="21"/>
                <w:szCs w:val="21"/>
                <w:highlight w:val="none"/>
                <w:vertAlign w:val="baseline"/>
                <w:lang w:val="en-US" w:eastAsia="zh-CN"/>
              </w:rPr>
            </w:pPr>
            <w:r>
              <w:rPr>
                <w:rFonts w:hint="eastAsia" w:ascii="仿宋" w:hAnsi="仿宋" w:eastAsia="仿宋" w:cs="仿宋"/>
                <w:color w:val="000000"/>
                <w:kern w:val="0"/>
                <w:sz w:val="21"/>
                <w:szCs w:val="21"/>
                <w:highlight w:val="none"/>
                <w:lang w:val="en-US" w:eastAsia="zh-CN"/>
              </w:rPr>
              <w:t>《村庄和集镇规划建设管理条例》(国务院令第116号)第三十二条：未经乡镇人民政府批准，任何单位和个人不得擅自在村庄、集镇规划区的街道、广场、市场和车站等场所修建临时建筑物、构筑物和其他设施。</w:t>
            </w:r>
          </w:p>
        </w:tc>
        <w:tc>
          <w:tcPr>
            <w:tcW w:w="1156" w:type="dxa"/>
            <w:vAlign w:val="center"/>
          </w:tcPr>
          <w:p w14:paraId="3F35CFAA">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4A3BCA21">
            <w:pPr>
              <w:keepNext w:val="0"/>
              <w:keepLines w:val="0"/>
              <w:widowControl/>
              <w:suppressLineNumbers w:val="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官庄镇综合行政执法大队</w:t>
            </w:r>
          </w:p>
        </w:tc>
        <w:tc>
          <w:tcPr>
            <w:tcW w:w="2072" w:type="dxa"/>
            <w:vAlign w:val="center"/>
          </w:tcPr>
          <w:p w14:paraId="34E4E064">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026A6792">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7B0F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5D1553E9">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3</w:t>
            </w:r>
          </w:p>
        </w:tc>
        <w:tc>
          <w:tcPr>
            <w:tcW w:w="1145" w:type="dxa"/>
            <w:vAlign w:val="center"/>
          </w:tcPr>
          <w:p w14:paraId="45153118">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0F566BDD">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48A06F58">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5F6B26C4">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农民集体所有的土地由本集体经济组织以外的单位或者个人承包经营审批</w:t>
            </w:r>
          </w:p>
        </w:tc>
        <w:tc>
          <w:tcPr>
            <w:tcW w:w="4570" w:type="dxa"/>
            <w:vAlign w:val="center"/>
          </w:tcPr>
          <w:p w14:paraId="458035C5">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农村土地承包法》（2018年12月29日修正）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1156" w:type="dxa"/>
            <w:vAlign w:val="center"/>
          </w:tcPr>
          <w:p w14:paraId="2992784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7564D2A8">
            <w:pPr>
              <w:keepNext w:val="0"/>
              <w:keepLines w:val="0"/>
              <w:widowControl/>
              <w:suppressLineNumbers w:val="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农业综合服务中心</w:t>
            </w:r>
          </w:p>
        </w:tc>
        <w:tc>
          <w:tcPr>
            <w:tcW w:w="2072" w:type="dxa"/>
            <w:vAlign w:val="center"/>
          </w:tcPr>
          <w:p w14:paraId="0DBEB73C">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00A6E53">
            <w:pPr>
              <w:keepNext w:val="0"/>
              <w:keepLines w:val="0"/>
              <w:widowControl/>
              <w:suppressLineNumbers w:val="0"/>
              <w:jc w:val="left"/>
              <w:rPr>
                <w:rFonts w:ascii="仿宋" w:hAnsi="仿宋" w:eastAsia="仿宋" w:cs="仿宋"/>
                <w:color w:val="000000"/>
                <w:kern w:val="0"/>
                <w:sz w:val="21"/>
                <w:szCs w:val="21"/>
                <w:lang w:val="en-US" w:eastAsia="zh-CN"/>
              </w:rPr>
            </w:pPr>
          </w:p>
        </w:tc>
      </w:tr>
      <w:tr w14:paraId="732C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787" w:type="dxa"/>
            <w:vAlign w:val="center"/>
          </w:tcPr>
          <w:p w14:paraId="372BA4EB">
            <w:pPr>
              <w:keepNext w:val="0"/>
              <w:keepLines w:val="0"/>
              <w:widowControl/>
              <w:suppressLineNumbers w:val="0"/>
              <w:jc w:val="center"/>
              <w:rPr>
                <w:rFonts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4</w:t>
            </w:r>
          </w:p>
        </w:tc>
        <w:tc>
          <w:tcPr>
            <w:tcW w:w="1145" w:type="dxa"/>
            <w:vAlign w:val="center"/>
          </w:tcPr>
          <w:p w14:paraId="55F8F9E3">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3408E83F">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7E1A67F5">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3D0E637D">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五保对象入农村敬老院的批准</w:t>
            </w:r>
          </w:p>
        </w:tc>
        <w:tc>
          <w:tcPr>
            <w:tcW w:w="4570" w:type="dxa"/>
            <w:vAlign w:val="center"/>
          </w:tcPr>
          <w:p w14:paraId="0D38C3DA">
            <w:pPr>
              <w:keepNext w:val="0"/>
              <w:keepLines w:val="0"/>
              <w:pageBreakBefore w:val="0"/>
              <w:widowControl/>
              <w:suppressLineNumbers w:val="0"/>
              <w:kinsoku/>
              <w:wordWrap/>
              <w:overflowPunct/>
              <w:topLinePunct w:val="0"/>
              <w:autoSpaceDE/>
              <w:autoSpaceDN/>
              <w:adjustRightInd/>
              <w:snapToGrid/>
              <w:spacing w:line="32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《农村五保供养工作条例》（国务院令第456号）第三条：乡、民族乡、镇人民政府管理本行政区域内的农村五保供养工作。</w:t>
            </w:r>
          </w:p>
        </w:tc>
        <w:tc>
          <w:tcPr>
            <w:tcW w:w="1156" w:type="dxa"/>
            <w:vAlign w:val="center"/>
          </w:tcPr>
          <w:p w14:paraId="05B9807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14F53350">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785F0D30">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D154A62">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77F2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787" w:type="dxa"/>
            <w:vAlign w:val="center"/>
          </w:tcPr>
          <w:p w14:paraId="2007DA6C">
            <w:pPr>
              <w:keepNext w:val="0"/>
              <w:keepLines w:val="0"/>
              <w:widowControl/>
              <w:suppressLineNumbers w:val="0"/>
              <w:jc w:val="center"/>
              <w:rPr>
                <w:rFonts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vertAlign w:val="baseline"/>
                <w:lang w:val="en-US" w:eastAsia="zh-CN"/>
              </w:rPr>
              <w:t>5</w:t>
            </w:r>
          </w:p>
        </w:tc>
        <w:tc>
          <w:tcPr>
            <w:tcW w:w="1145" w:type="dxa"/>
            <w:vAlign w:val="center"/>
          </w:tcPr>
          <w:p w14:paraId="06C5B668">
            <w:pPr>
              <w:keepNext w:val="0"/>
              <w:keepLines w:val="0"/>
              <w:widowControl/>
              <w:suppressLineNumbers w:val="0"/>
              <w:jc w:val="center"/>
              <w:rPr>
                <w:rFonts w:hint="eastAsia" w:ascii="仿宋" w:hAnsi="仿宋" w:eastAsia="仿宋" w:cs="仿宋"/>
                <w:color w:val="000000"/>
                <w:kern w:val="0"/>
                <w:sz w:val="21"/>
                <w:szCs w:val="21"/>
                <w:lang w:val="en-US" w:eastAsia="zh-CN"/>
              </w:rPr>
            </w:pPr>
          </w:p>
          <w:p w14:paraId="53AD364E">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行政许可</w:t>
            </w:r>
          </w:p>
          <w:p w14:paraId="0ABB2CCF">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rPr>
            </w:pPr>
          </w:p>
        </w:tc>
        <w:tc>
          <w:tcPr>
            <w:tcW w:w="1788" w:type="dxa"/>
            <w:vAlign w:val="center"/>
          </w:tcPr>
          <w:p w14:paraId="6BD14BB7">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适龄儿童、少年因身体状况需要延缓入学或者休学审批</w:t>
            </w:r>
          </w:p>
        </w:tc>
        <w:tc>
          <w:tcPr>
            <w:tcW w:w="4570" w:type="dxa"/>
            <w:vAlign w:val="center"/>
          </w:tcPr>
          <w:p w14:paraId="62EF6EB6">
            <w:pPr>
              <w:keepNext w:val="0"/>
              <w:keepLines w:val="0"/>
              <w:widowControl/>
              <w:suppressLineNumbers w:val="0"/>
              <w:jc w:val="left"/>
              <w:rPr>
                <w:rFonts w:hint="eastAsia" w:ascii="仿宋" w:hAnsi="仿宋" w:eastAsia="仿宋" w:cs="仿宋"/>
                <w:color w:val="000000"/>
                <w:kern w:val="0"/>
                <w:sz w:val="21"/>
                <w:szCs w:val="21"/>
                <w:vertAlign w:val="baseline"/>
                <w:lang w:val="en-US" w:eastAsia="zh-CN"/>
              </w:rPr>
            </w:pPr>
            <w:r>
              <w:rPr>
                <w:rFonts w:hint="eastAsia" w:ascii="仿宋" w:hAnsi="仿宋" w:eastAsia="仿宋" w:cs="仿宋"/>
                <w:color w:val="000000"/>
                <w:kern w:val="0"/>
                <w:sz w:val="21"/>
                <w:szCs w:val="21"/>
                <w:lang w:val="en-US" w:eastAsia="zh-CN"/>
              </w:rPr>
              <w:t>《中华人民共和国义务教育法》(2018年12月29日修正)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1156" w:type="dxa"/>
            <w:vAlign w:val="center"/>
          </w:tcPr>
          <w:p w14:paraId="24C08B35">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1D635FDF">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2072" w:type="dxa"/>
            <w:vAlign w:val="center"/>
          </w:tcPr>
          <w:p w14:paraId="52985CA7">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5EB6836">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375C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787" w:type="dxa"/>
            <w:vAlign w:val="center"/>
          </w:tcPr>
          <w:p w14:paraId="169483D6">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6</w:t>
            </w:r>
          </w:p>
        </w:tc>
        <w:tc>
          <w:tcPr>
            <w:tcW w:w="1145" w:type="dxa"/>
            <w:vAlign w:val="center"/>
          </w:tcPr>
          <w:p w14:paraId="07509370">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44958EF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损坏村庄和集镇的房屋、公共设施，破坏村容镇貌和环境卫生的处罚</w:t>
            </w:r>
          </w:p>
        </w:tc>
        <w:tc>
          <w:tcPr>
            <w:tcW w:w="4570" w:type="dxa"/>
            <w:vAlign w:val="center"/>
          </w:tcPr>
          <w:p w14:paraId="4D8A1CF8">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1156" w:type="dxa"/>
            <w:vAlign w:val="center"/>
          </w:tcPr>
          <w:p w14:paraId="11364AF2">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454E8539">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0420C2E7">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7186643C">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522C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787" w:type="dxa"/>
            <w:vAlign w:val="center"/>
          </w:tcPr>
          <w:p w14:paraId="04B0D378">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7</w:t>
            </w:r>
          </w:p>
        </w:tc>
        <w:tc>
          <w:tcPr>
            <w:tcW w:w="1145" w:type="dxa"/>
            <w:vAlign w:val="center"/>
          </w:tcPr>
          <w:p w14:paraId="5AC62A37">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10B2956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对擅自在村庄、集镇规划区内的街道、广场、市场和车站等场所修建临时建筑物、构筑物和其他设施的处罚</w:t>
            </w:r>
          </w:p>
        </w:tc>
        <w:tc>
          <w:tcPr>
            <w:tcW w:w="4570" w:type="dxa"/>
            <w:vAlign w:val="center"/>
          </w:tcPr>
          <w:p w14:paraId="531730A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四十条：擅自在村庄、集镇规划区内的街道、广场、市场和车站等场所修建临时建筑物、构筑物和其他设施的，由乡级人民政府责令限期拆除，并可处以罚款。</w:t>
            </w:r>
          </w:p>
        </w:tc>
        <w:tc>
          <w:tcPr>
            <w:tcW w:w="1156" w:type="dxa"/>
            <w:vAlign w:val="center"/>
          </w:tcPr>
          <w:p w14:paraId="56C4BE9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50E02F2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75EA1C72">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BBD106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3DC7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4" w:hRule="atLeast"/>
        </w:trPr>
        <w:tc>
          <w:tcPr>
            <w:tcW w:w="787" w:type="dxa"/>
            <w:vAlign w:val="center"/>
          </w:tcPr>
          <w:p w14:paraId="3B530F65">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8</w:t>
            </w:r>
          </w:p>
        </w:tc>
        <w:tc>
          <w:tcPr>
            <w:tcW w:w="1145" w:type="dxa"/>
            <w:vAlign w:val="center"/>
          </w:tcPr>
          <w:p w14:paraId="0FA739CB">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3B45565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对农村居民未经批准或者违反规划的规定建住宅的处罚</w:t>
            </w:r>
          </w:p>
        </w:tc>
        <w:tc>
          <w:tcPr>
            <w:tcW w:w="4570" w:type="dxa"/>
            <w:vAlign w:val="center"/>
          </w:tcPr>
          <w:p w14:paraId="17A025C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庄和集镇规划建设管理条例》（国务院令第116号）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w:t>
            </w:r>
            <w:r>
              <w:rPr>
                <w:rFonts w:hint="eastAsia" w:ascii="仿宋" w:hAnsi="仿宋" w:eastAsia="仿宋" w:cs="仿宋"/>
                <w:color w:val="000000"/>
                <w:spacing w:val="-6"/>
                <w:kern w:val="0"/>
                <w:sz w:val="21"/>
                <w:szCs w:val="21"/>
                <w:lang w:val="en-US" w:eastAsia="zh-CN"/>
              </w:rPr>
              <w:t>住宅的，乡级人民政府可以依照前款规定</w:t>
            </w:r>
            <w:r>
              <w:rPr>
                <w:rFonts w:hint="eastAsia" w:ascii="仿宋" w:hAnsi="仿宋" w:eastAsia="仿宋" w:cs="仿宋"/>
                <w:color w:val="000000"/>
                <w:kern w:val="0"/>
                <w:sz w:val="21"/>
                <w:szCs w:val="21"/>
                <w:lang w:val="en-US" w:eastAsia="zh-CN"/>
              </w:rPr>
              <w:t>处罚。</w:t>
            </w:r>
          </w:p>
        </w:tc>
        <w:tc>
          <w:tcPr>
            <w:tcW w:w="1156" w:type="dxa"/>
            <w:vAlign w:val="center"/>
          </w:tcPr>
          <w:p w14:paraId="06198236">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2C34631E">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5F97C57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496202E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6A22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787" w:type="dxa"/>
            <w:vAlign w:val="center"/>
          </w:tcPr>
          <w:p w14:paraId="61A67020">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9</w:t>
            </w:r>
          </w:p>
        </w:tc>
        <w:tc>
          <w:tcPr>
            <w:tcW w:w="1145" w:type="dxa"/>
            <w:vAlign w:val="center"/>
          </w:tcPr>
          <w:p w14:paraId="7FAF670F">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59F9864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对食品摊贩违法行为的处罚</w:t>
            </w:r>
          </w:p>
        </w:tc>
        <w:tc>
          <w:tcPr>
            <w:tcW w:w="4570" w:type="dxa"/>
            <w:vAlign w:val="center"/>
          </w:tcPr>
          <w:p w14:paraId="7A89C07A">
            <w:pPr>
              <w:keepNext w:val="0"/>
              <w:keepLines w:val="0"/>
              <w:pageBreakBefore w:val="0"/>
              <w:widowControl/>
              <w:suppressLineNumbers w:val="0"/>
              <w:kinsoku/>
              <w:wordWrap/>
              <w:overflowPunct/>
              <w:topLinePunct w:val="0"/>
              <w:autoSpaceDE/>
              <w:autoSpaceDN/>
              <w:adjustRightInd/>
              <w:snapToGrid/>
              <w:spacing w:line="24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《湖南省食品生产加工小作坊小餐饮和食品摊贩管理条例》( 2024年9月26日湖南省第十四 届人民代表大会常务委员会第十二次会议修订)第三十二条 小作坊、小餐饮违反本条例第十一条第一款、第十九条第一款规定的，由县级以上人民政府市场监督管理部门责令改正；拒不改正的，给予警告。食品摊贩违反本条例第二十五条第一款规定的，由乡镇人民政府或者街道办事处责令改正；拒不改正的，给予警告。第三十八条 食品摊贩违反本条例 第二十三条第一款规定，未在规定区域和时段经营的，由城市管理部门按照城市管理相关 规定给予处罚。食品摊贩违反本条例第二十五条第二款、第二十七条规定的，由乡镇人民政府或者街道办事处责令改正；拒不改正的，处一百元以上五百元以下罚款。食品摊贩违 反本条例第二十六条规定的，由乡镇人民政府或者街道办事处责令改正；拒不改正的，没 收违法所得和违法经营的食品，可以没收用于违法经营的工具、设备、原料等物品，处三百元以上三千元以下罚款。</w:t>
            </w:r>
          </w:p>
        </w:tc>
        <w:tc>
          <w:tcPr>
            <w:tcW w:w="1156" w:type="dxa"/>
            <w:vAlign w:val="center"/>
          </w:tcPr>
          <w:p w14:paraId="0405D013">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CB21DE7">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6A38C527">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35AEFC73">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01C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787" w:type="dxa"/>
            <w:vAlign w:val="center"/>
          </w:tcPr>
          <w:p w14:paraId="1DBE0EBA">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10</w:t>
            </w:r>
          </w:p>
        </w:tc>
        <w:tc>
          <w:tcPr>
            <w:tcW w:w="1145" w:type="dxa"/>
            <w:vAlign w:val="center"/>
          </w:tcPr>
          <w:p w14:paraId="41D1F41B">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4CB46DD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对未依法委托房屋安全鉴定机构进行安全鉴定的行政处罚</w:t>
            </w:r>
          </w:p>
        </w:tc>
        <w:tc>
          <w:tcPr>
            <w:tcW w:w="4570" w:type="dxa"/>
            <w:vAlign w:val="center"/>
          </w:tcPr>
          <w:p w14:paraId="13FB861C">
            <w:pPr>
              <w:keepNext w:val="0"/>
              <w:keepLines w:val="0"/>
              <w:pageBreakBefore w:val="0"/>
              <w:widowControl/>
              <w:suppressLineNumbers w:val="0"/>
              <w:kinsoku/>
              <w:wordWrap/>
              <w:overflowPunct/>
              <w:topLinePunct w:val="0"/>
              <w:autoSpaceDE/>
              <w:autoSpaceDN/>
              <w:adjustRightInd/>
              <w:snapToGrid/>
              <w:spacing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七条房屋使用安全责任人违反本规定第七条，未依法委托房屋安全鉴定机构进行安全鉴定的，由县级人民政府住房城乡建设主管部门或者乡镇人民政府处五千元以上一万元以下罚款；情节严重的，处一万元以上五万元以下罚款。</w:t>
            </w:r>
          </w:p>
        </w:tc>
        <w:tc>
          <w:tcPr>
            <w:tcW w:w="1156" w:type="dxa"/>
            <w:vAlign w:val="center"/>
          </w:tcPr>
          <w:p w14:paraId="58EE8FD6">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241565FC">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008C2AE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3000EEB">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0043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787" w:type="dxa"/>
            <w:vAlign w:val="center"/>
          </w:tcPr>
          <w:p w14:paraId="6DA1EE60">
            <w:pPr>
              <w:keepNext w:val="0"/>
              <w:keepLines w:val="0"/>
              <w:widowControl/>
              <w:suppressLineNumbers w:val="0"/>
              <w:jc w:val="center"/>
              <w:rPr>
                <w:rFonts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11</w:t>
            </w:r>
          </w:p>
        </w:tc>
        <w:tc>
          <w:tcPr>
            <w:tcW w:w="1145" w:type="dxa"/>
            <w:vAlign w:val="center"/>
          </w:tcPr>
          <w:p w14:paraId="323DAB75">
            <w:pPr>
              <w:keepNext w:val="0"/>
              <w:keepLines w:val="0"/>
              <w:widowControl/>
              <w:suppressLineNumbers w:val="0"/>
              <w:ind w:left="0" w:firstLine="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0995C83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对用作经营的居民自建房从事人员密集型经营活动违法违规行为的行政处罚</w:t>
            </w:r>
          </w:p>
        </w:tc>
        <w:tc>
          <w:tcPr>
            <w:tcW w:w="4570" w:type="dxa"/>
            <w:vAlign w:val="center"/>
          </w:tcPr>
          <w:p w14:paraId="0B5F470E">
            <w:pPr>
              <w:keepNext w:val="0"/>
              <w:keepLines w:val="0"/>
              <w:pageBreakBefore w:val="0"/>
              <w:widowControl/>
              <w:suppressLineNumbers w:val="0"/>
              <w:kinsoku/>
              <w:wordWrap/>
              <w:overflowPunct/>
              <w:topLinePunct w:val="0"/>
              <w:autoSpaceDE/>
              <w:autoSpaceDN/>
              <w:adjustRightInd/>
              <w:snapToGrid/>
              <w:spacing w:after="66" w:afterLines="21" w:afterAutospacing="0"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九条房屋使用安全责任人违反本规定第十条第一款第一项规定的，由县级人民政府有关主管部门或者乡镇人民政府责令限期改正；逾期未改正的，处五千元以上五万元以下罚款。</w:t>
            </w:r>
          </w:p>
        </w:tc>
        <w:tc>
          <w:tcPr>
            <w:tcW w:w="1156" w:type="dxa"/>
            <w:vAlign w:val="center"/>
          </w:tcPr>
          <w:p w14:paraId="76028CC1">
            <w:pPr>
              <w:keepNext w:val="0"/>
              <w:keepLines w:val="0"/>
              <w:widowControl/>
              <w:suppressLineNumbers w:val="0"/>
              <w:ind w:left="0" w:firstLine="0"/>
              <w:jc w:val="center"/>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4660614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66DFD2C5">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4233EE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4B09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787" w:type="dxa"/>
            <w:vAlign w:val="center"/>
          </w:tcPr>
          <w:p w14:paraId="682E4079">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w:t>
            </w:r>
          </w:p>
        </w:tc>
        <w:tc>
          <w:tcPr>
            <w:tcW w:w="1145" w:type="dxa"/>
            <w:vAlign w:val="center"/>
          </w:tcPr>
          <w:p w14:paraId="5E1C3BEA">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386CDDC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居民自建房未取得建设工程规划许可证的</w:t>
            </w:r>
          </w:p>
        </w:tc>
        <w:tc>
          <w:tcPr>
            <w:tcW w:w="4570" w:type="dxa"/>
            <w:vAlign w:val="center"/>
          </w:tcPr>
          <w:p w14:paraId="443733AF">
            <w:pPr>
              <w:keepNext w:val="0"/>
              <w:keepLines w:val="0"/>
              <w:pageBreakBefore w:val="0"/>
              <w:widowControl/>
              <w:suppressLineNumbers w:val="0"/>
              <w:kinsoku/>
              <w:wordWrap/>
              <w:overflowPunct/>
              <w:topLinePunct w:val="0"/>
              <w:autoSpaceDE/>
              <w:autoSpaceDN/>
              <w:adjustRightInd/>
              <w:snapToGrid/>
              <w:spacing w:after="66" w:afterLines="21" w:afterAutospacing="0"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《湖南省居民自建房安全管理若干规定》（2022年11月23日湖南省第十三届人民代表大会常务委员会第三十四次会议通过）第十五条 居民自建房未取得建设工程规划许可证的，由城市、县人民政府城市管理和综合执法部门依照《中华人民共和国城乡规划法》有关规定处理；未按照建设工程规划许可证的规定进行建设的，由城市、县人民政府城乡规划主管部门责令停止建设，并及时移交城市管理和综合执法部门依照《中华人民共和国城乡规划法》有关规定处理。</w:t>
            </w:r>
          </w:p>
          <w:p w14:paraId="51743E10">
            <w:pPr>
              <w:keepNext w:val="0"/>
              <w:keepLines w:val="0"/>
              <w:pageBreakBefore w:val="0"/>
              <w:widowControl/>
              <w:suppressLineNumbers w:val="0"/>
              <w:kinsoku/>
              <w:wordWrap/>
              <w:overflowPunct/>
              <w:topLinePunct w:val="0"/>
              <w:autoSpaceDE/>
              <w:autoSpaceDN/>
              <w:adjustRightInd/>
              <w:snapToGrid/>
              <w:spacing w:after="66" w:afterLines="21" w:afterAutospacing="0"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居民自建房未依法取得乡村建设规划许可证或者未按照乡村建设规划许可证的规定进行建设的，由乡镇人民政府依照《中华人民共和国城乡规划法》有关规定处理。</w:t>
            </w:r>
          </w:p>
        </w:tc>
        <w:tc>
          <w:tcPr>
            <w:tcW w:w="1156" w:type="dxa"/>
            <w:vAlign w:val="center"/>
          </w:tcPr>
          <w:p w14:paraId="3462C658">
            <w:pPr>
              <w:keepNext w:val="0"/>
              <w:keepLines w:val="0"/>
              <w:widowControl/>
              <w:suppressLineNumbers w:val="0"/>
              <w:ind w:left="0" w:leftChars="0" w:firstLine="0" w:firstLineChars="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4C91922D">
            <w:pPr>
              <w:keepNext w:val="0"/>
              <w:keepLines w:val="0"/>
              <w:widowControl/>
              <w:suppressLineNumbers w:val="0"/>
              <w:jc w:val="center"/>
              <w:rPr>
                <w:rFonts w:hint="eastAsia" w:ascii="宋体" w:hAnsi="宋体" w:cs="宋体"/>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63B07F23">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011B01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28C3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787" w:type="dxa"/>
            <w:vAlign w:val="center"/>
          </w:tcPr>
          <w:p w14:paraId="0FADB9D4">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13</w:t>
            </w:r>
          </w:p>
        </w:tc>
        <w:tc>
          <w:tcPr>
            <w:tcW w:w="1145" w:type="dxa"/>
            <w:vAlign w:val="center"/>
          </w:tcPr>
          <w:p w14:paraId="7EAA06CF">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行政处罚</w:t>
            </w:r>
          </w:p>
        </w:tc>
        <w:tc>
          <w:tcPr>
            <w:tcW w:w="1788" w:type="dxa"/>
            <w:vAlign w:val="center"/>
          </w:tcPr>
          <w:p w14:paraId="64EC128B">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房屋使用安全责在使用过程中擅自加层或者拆改房屋主体承重结构的</w:t>
            </w:r>
          </w:p>
        </w:tc>
        <w:tc>
          <w:tcPr>
            <w:tcW w:w="4570" w:type="dxa"/>
            <w:vAlign w:val="center"/>
          </w:tcPr>
          <w:p w14:paraId="1F4E4A6B">
            <w:pPr>
              <w:keepNext w:val="0"/>
              <w:keepLines w:val="0"/>
              <w:pageBreakBefore w:val="0"/>
              <w:widowControl/>
              <w:suppressLineNumbers w:val="0"/>
              <w:kinsoku/>
              <w:wordWrap/>
              <w:overflowPunct/>
              <w:topLinePunct w:val="0"/>
              <w:autoSpaceDE/>
              <w:autoSpaceDN/>
              <w:adjustRightInd/>
              <w:snapToGrid/>
              <w:spacing w:after="66" w:afterLines="21" w:afterAutospacing="0" w:line="26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《湖南省居民自建房安全管理若干规定》（2022年11月23日湖南省第十三届人民代表大会常务委员会第三十四次会议通过）第十六条 房屋使用安全责任人违反本规定第六条第二款第一项，在使用过程中擅自加层或者拆改房屋主体承重结构的，由城市、县人民政府城市管理和综合执法部门或者乡镇人民政府责令停止违法行为、限期采取恢复原状或者维修加固等排除危险措施，房屋使用安全责任人应当自接到停止违法行为通知书之日起立即停止违法行为；拒不停止违法行为、逾期不采取恢复原状或者维修加固等排除危险措施的，责令停止使用。</w:t>
            </w:r>
          </w:p>
        </w:tc>
        <w:tc>
          <w:tcPr>
            <w:tcW w:w="1156" w:type="dxa"/>
            <w:vAlign w:val="center"/>
          </w:tcPr>
          <w:p w14:paraId="5E0FD308">
            <w:pPr>
              <w:keepNext w:val="0"/>
              <w:keepLines w:val="0"/>
              <w:widowControl/>
              <w:suppressLineNumbers w:val="0"/>
              <w:ind w:left="0" w:leftChars="0" w:firstLine="0" w:firstLineChars="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3EE6F2AA">
            <w:pPr>
              <w:keepNext w:val="0"/>
              <w:keepLines w:val="0"/>
              <w:widowControl/>
              <w:suppressLineNumbers w:val="0"/>
              <w:jc w:val="center"/>
              <w:rPr>
                <w:rFonts w:hint="eastAsia" w:ascii="宋体" w:hAnsi="宋体" w:cs="宋体"/>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42BD5DEE">
            <w:pPr>
              <w:keepNext w:val="0"/>
              <w:keepLines w:val="0"/>
              <w:widowControl/>
              <w:suppressLineNumbers w:val="0"/>
              <w:jc w:val="center"/>
              <w:rPr>
                <w:rFonts w:hint="eastAsia" w:ascii="仿宋" w:hAnsi="仿宋" w:eastAsia="仿宋" w:cs="仿宋"/>
                <w:color w:val="000000"/>
                <w:kern w:val="0"/>
                <w:sz w:val="21"/>
                <w:szCs w:val="21"/>
                <w:lang w:val="en-US" w:eastAsia="zh-CN"/>
              </w:rPr>
            </w:pPr>
          </w:p>
        </w:tc>
        <w:tc>
          <w:tcPr>
            <w:tcW w:w="1845" w:type="dxa"/>
            <w:vAlign w:val="center"/>
          </w:tcPr>
          <w:p w14:paraId="4B403277">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r>
      <w:tr w14:paraId="22F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787" w:type="dxa"/>
            <w:vAlign w:val="center"/>
          </w:tcPr>
          <w:p w14:paraId="58A880C1">
            <w:pPr>
              <w:keepNext w:val="0"/>
              <w:keepLines w:val="0"/>
              <w:widowControl/>
              <w:suppressLineNumbers w:val="0"/>
              <w:jc w:val="center"/>
              <w:rPr>
                <w:rFonts w:hint="default"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val="en-US" w:eastAsia="zh-CN"/>
              </w:rPr>
              <w:t>4</w:t>
            </w:r>
          </w:p>
        </w:tc>
        <w:tc>
          <w:tcPr>
            <w:tcW w:w="1145" w:type="dxa"/>
            <w:vAlign w:val="center"/>
          </w:tcPr>
          <w:p w14:paraId="5EB06423">
            <w:pPr>
              <w:keepNext w:val="0"/>
              <w:keepLines w:val="0"/>
              <w:widowControl/>
              <w:suppressLineNumbers w:val="0"/>
              <w:jc w:val="center"/>
              <w:rPr>
                <w:rFonts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184033B9">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基本养老服务补贴的审核、管理和给付</w:t>
            </w:r>
          </w:p>
        </w:tc>
        <w:tc>
          <w:tcPr>
            <w:tcW w:w="4570" w:type="dxa"/>
            <w:vAlign w:val="center"/>
          </w:tcPr>
          <w:p w14:paraId="167617E3">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中华人民共和国老年人权益保障法》（2018年12月29日修正）第三十七条：地方各级人民政府和有关部门应当采取措施，发展城乡社区养老服务，鼓励、扶持专业服务机构及其他组织和个人，为居家的老年人提供生活照料、紧急救援、医疗护理、精神慰藉、心理咨询等多种形式的服务。对经济困难的老年人，地方各级人民政府应当逐步给予养老服务补贴。</w:t>
            </w:r>
          </w:p>
        </w:tc>
        <w:tc>
          <w:tcPr>
            <w:tcW w:w="1156" w:type="dxa"/>
            <w:vAlign w:val="center"/>
          </w:tcPr>
          <w:p w14:paraId="065F22E9">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68690C2">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2F82CA30">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35A2FCB5">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17EE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787" w:type="dxa"/>
            <w:vAlign w:val="center"/>
          </w:tcPr>
          <w:p w14:paraId="1C6B1E72">
            <w:pPr>
              <w:keepNext w:val="0"/>
              <w:keepLines w:val="0"/>
              <w:widowControl/>
              <w:suppressLineNumbers w:val="0"/>
              <w:jc w:val="center"/>
              <w:rPr>
                <w:rFonts w:hint="default"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val="en-US" w:eastAsia="zh-CN"/>
              </w:rPr>
              <w:t>5</w:t>
            </w:r>
          </w:p>
        </w:tc>
        <w:tc>
          <w:tcPr>
            <w:tcW w:w="1145" w:type="dxa"/>
            <w:vAlign w:val="center"/>
          </w:tcPr>
          <w:p w14:paraId="4B9B1F97">
            <w:pPr>
              <w:keepNext w:val="0"/>
              <w:keepLines w:val="0"/>
              <w:widowControl/>
              <w:suppressLineNumbers w:val="0"/>
              <w:jc w:val="center"/>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740672C7">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高龄补贴的审核、管理和给付</w:t>
            </w:r>
          </w:p>
        </w:tc>
        <w:tc>
          <w:tcPr>
            <w:tcW w:w="4570" w:type="dxa"/>
            <w:vAlign w:val="center"/>
          </w:tcPr>
          <w:p w14:paraId="4C9CF85F">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老年人权益保障法》（2018年12月29日修正）第三十三条：国家建立和完善老年人福利制度，根据经济社会发展水平和老年人的实际需要，增加老年人的社会福利。国家鼓励地方建立八十周岁以上低收入老年人高龄津贴制度。</w:t>
            </w:r>
          </w:p>
        </w:tc>
        <w:tc>
          <w:tcPr>
            <w:tcW w:w="1156" w:type="dxa"/>
            <w:vAlign w:val="center"/>
          </w:tcPr>
          <w:p w14:paraId="49588973">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05AF64D5">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70C45227">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62DDF507">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16E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787" w:type="dxa"/>
            <w:vAlign w:val="center"/>
          </w:tcPr>
          <w:p w14:paraId="6E57ACF8">
            <w:pPr>
              <w:keepNext w:val="0"/>
              <w:keepLines w:val="0"/>
              <w:widowControl/>
              <w:suppressLineNumbers w:val="0"/>
              <w:jc w:val="center"/>
              <w:rPr>
                <w:rFonts w:hint="default"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val="en-US" w:eastAsia="zh-CN"/>
              </w:rPr>
              <w:t>6</w:t>
            </w:r>
          </w:p>
        </w:tc>
        <w:tc>
          <w:tcPr>
            <w:tcW w:w="1145" w:type="dxa"/>
            <w:vAlign w:val="center"/>
          </w:tcPr>
          <w:p w14:paraId="7D19E976">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行政给付</w:t>
            </w:r>
          </w:p>
        </w:tc>
        <w:tc>
          <w:tcPr>
            <w:tcW w:w="1788" w:type="dxa"/>
            <w:vAlign w:val="center"/>
          </w:tcPr>
          <w:p w14:paraId="4EC15EE9">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对生活确有困难残疾人的救助</w:t>
            </w:r>
          </w:p>
        </w:tc>
        <w:tc>
          <w:tcPr>
            <w:tcW w:w="4570" w:type="dxa"/>
            <w:vAlign w:val="center"/>
          </w:tcPr>
          <w:p w14:paraId="468D0ABE">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残疾人保障法》(2018年10月26日修正)第四十八条：各级人民政府对生活确有困难的残疾人，通过多种渠道给予生活、教育、住房和其他类社会救助。各级人民政府对贫困残疾人的基本医疗、康复服务、必要的辅助器具的配置和更换，应当按照规定给予救助。对生活不能自理的残疾人，地方各级人民政府应当根据情况给予护理补贴。</w:t>
            </w:r>
          </w:p>
        </w:tc>
        <w:tc>
          <w:tcPr>
            <w:tcW w:w="1156" w:type="dxa"/>
            <w:vAlign w:val="center"/>
          </w:tcPr>
          <w:p w14:paraId="160D4E48">
            <w:pPr>
              <w:keepNext w:val="0"/>
              <w:keepLines w:val="0"/>
              <w:widowControl/>
              <w:suppressLineNumbers w:val="0"/>
              <w:ind w:left="0"/>
              <w:jc w:val="center"/>
              <w:rPr>
                <w:rFonts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6ED6C3D">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56681BC7">
            <w:pPr>
              <w:keepNext w:val="0"/>
              <w:keepLines w:val="0"/>
              <w:widowControl/>
              <w:suppressLineNumbers w:val="0"/>
              <w:jc w:val="center"/>
              <w:rPr>
                <w:rFonts w:ascii="仿宋" w:hAnsi="仿宋" w:eastAsia="仿宋" w:cs="仿宋"/>
                <w:color w:val="000000"/>
                <w:kern w:val="0"/>
                <w:sz w:val="21"/>
                <w:szCs w:val="21"/>
                <w:lang w:val="en-US" w:eastAsia="zh-CN"/>
              </w:rPr>
            </w:pPr>
          </w:p>
        </w:tc>
        <w:tc>
          <w:tcPr>
            <w:tcW w:w="1845" w:type="dxa"/>
            <w:vAlign w:val="center"/>
          </w:tcPr>
          <w:p w14:paraId="058A10F2">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p>
        </w:tc>
      </w:tr>
      <w:tr w14:paraId="5F47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6C35CFAD">
            <w:pPr>
              <w:keepNext w:val="0"/>
              <w:keepLines w:val="0"/>
              <w:widowControl/>
              <w:suppressLineNumbers w:val="0"/>
              <w:jc w:val="center"/>
              <w:rPr>
                <w:rFonts w:hint="default"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17</w:t>
            </w:r>
          </w:p>
        </w:tc>
        <w:tc>
          <w:tcPr>
            <w:tcW w:w="1145" w:type="dxa"/>
            <w:vAlign w:val="center"/>
          </w:tcPr>
          <w:p w14:paraId="0F53DBE9">
            <w:pPr>
              <w:keepNext w:val="0"/>
              <w:keepLines w:val="0"/>
              <w:widowControl/>
              <w:suppressLineNumbers w:val="0"/>
              <w:jc w:val="center"/>
              <w:rPr>
                <w:rFonts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515D9124">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对未依法取得乡村建设规划许可证或未按乡村建设规划许可证建设，逾期不改正的拆除</w:t>
            </w:r>
          </w:p>
        </w:tc>
        <w:tc>
          <w:tcPr>
            <w:tcW w:w="4570" w:type="dxa"/>
            <w:vAlign w:val="center"/>
          </w:tcPr>
          <w:p w14:paraId="4AA82309">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中华人民共和国城乡规划法》（2019年4月23日修正）第六十五条：在乡、区内未依法取得乡村建设规划许可证或者未按照乡村建设规划许可证的规定进行建设的，由乡、镇人民政府责令停止建设、限期改正；逾期不改正的，可以拆除。</w:t>
            </w:r>
          </w:p>
        </w:tc>
        <w:tc>
          <w:tcPr>
            <w:tcW w:w="1156" w:type="dxa"/>
            <w:vAlign w:val="center"/>
          </w:tcPr>
          <w:p w14:paraId="4CDF8D29">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707C689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综合行政执法大队</w:t>
            </w:r>
          </w:p>
        </w:tc>
        <w:tc>
          <w:tcPr>
            <w:tcW w:w="2072" w:type="dxa"/>
            <w:vAlign w:val="center"/>
          </w:tcPr>
          <w:p w14:paraId="5964FF2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040166E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6CCF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787" w:type="dxa"/>
            <w:vAlign w:val="center"/>
          </w:tcPr>
          <w:p w14:paraId="511997C4">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8</w:t>
            </w:r>
          </w:p>
        </w:tc>
        <w:tc>
          <w:tcPr>
            <w:tcW w:w="1145" w:type="dxa"/>
            <w:vAlign w:val="center"/>
          </w:tcPr>
          <w:p w14:paraId="4AC1F2F2">
            <w:pPr>
              <w:keepNext w:val="0"/>
              <w:keepLines w:val="0"/>
              <w:widowControl/>
              <w:suppressLineNumbers w:val="0"/>
              <w:jc w:val="center"/>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4379CE9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对地质灾害险情情况紧急的行政强制</w:t>
            </w:r>
          </w:p>
        </w:tc>
        <w:tc>
          <w:tcPr>
            <w:tcW w:w="4570" w:type="dxa"/>
            <w:vAlign w:val="center"/>
          </w:tcPr>
          <w:p w14:paraId="68C3669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p>
        </w:tc>
        <w:tc>
          <w:tcPr>
            <w:tcW w:w="1156" w:type="dxa"/>
            <w:vAlign w:val="center"/>
          </w:tcPr>
          <w:p w14:paraId="71B036CA">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F0A24E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自然资源所</w:t>
            </w:r>
          </w:p>
        </w:tc>
        <w:tc>
          <w:tcPr>
            <w:tcW w:w="2072" w:type="dxa"/>
            <w:vAlign w:val="center"/>
          </w:tcPr>
          <w:p w14:paraId="731C9A3A">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3660CC9F">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7C8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787" w:type="dxa"/>
            <w:vAlign w:val="center"/>
          </w:tcPr>
          <w:p w14:paraId="43E58C7C">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val="en-US" w:eastAsia="zh-CN"/>
              </w:rPr>
              <w:t>9</w:t>
            </w:r>
          </w:p>
        </w:tc>
        <w:tc>
          <w:tcPr>
            <w:tcW w:w="1145" w:type="dxa"/>
            <w:vAlign w:val="center"/>
          </w:tcPr>
          <w:p w14:paraId="087FC2FF">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行政强制</w:t>
            </w:r>
          </w:p>
        </w:tc>
        <w:tc>
          <w:tcPr>
            <w:tcW w:w="1788" w:type="dxa"/>
            <w:vAlign w:val="center"/>
          </w:tcPr>
          <w:p w14:paraId="0888D48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对非法种植毒品原植物的行政强制</w:t>
            </w:r>
          </w:p>
        </w:tc>
        <w:tc>
          <w:tcPr>
            <w:tcW w:w="4570" w:type="dxa"/>
            <w:vAlign w:val="center"/>
          </w:tcPr>
          <w:p w14:paraId="06460738">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禁毒法》（主席令第七十九号）第十九条：地方各级人民政府发现非法种植毒品原植物的，应当立即采取措施予以制止、铲除。村民委员会、居民委员会发现非法种植毒品原植物的，应当及时予以制止、铲除，并向当地公安机关报告。</w:t>
            </w:r>
          </w:p>
        </w:tc>
        <w:tc>
          <w:tcPr>
            <w:tcW w:w="1156" w:type="dxa"/>
            <w:vAlign w:val="center"/>
          </w:tcPr>
          <w:p w14:paraId="135438EB">
            <w:pPr>
              <w:keepNext w:val="0"/>
              <w:keepLines w:val="0"/>
              <w:widowControl/>
              <w:suppressLineNumbers w:val="0"/>
              <w:ind w:left="0" w:firstLine="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ABE09CC">
            <w:pPr>
              <w:keepNext w:val="0"/>
              <w:keepLines w:val="0"/>
              <w:widowControl/>
              <w:suppressLineNumbers w:val="0"/>
              <w:jc w:val="center"/>
              <w:rPr>
                <w:rFonts w:hint="eastAsia" w:ascii="宋体" w:hAnsi="宋体" w:eastAsia="宋体" w:cs="宋体"/>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p>
        </w:tc>
        <w:tc>
          <w:tcPr>
            <w:tcW w:w="2072" w:type="dxa"/>
            <w:vAlign w:val="center"/>
          </w:tcPr>
          <w:p w14:paraId="309088C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21E37E31">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7F9F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787" w:type="dxa"/>
            <w:vAlign w:val="center"/>
          </w:tcPr>
          <w:p w14:paraId="4ADFE262">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145" w:type="dxa"/>
            <w:vAlign w:val="center"/>
          </w:tcPr>
          <w:p w14:paraId="18F4D91D">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行政确认</w:t>
            </w:r>
          </w:p>
        </w:tc>
        <w:tc>
          <w:tcPr>
            <w:tcW w:w="1788" w:type="dxa"/>
            <w:vAlign w:val="center"/>
          </w:tcPr>
          <w:p w14:paraId="4CAEFD8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村（居）民申请法律援助经济困难证明</w:t>
            </w:r>
          </w:p>
        </w:tc>
        <w:tc>
          <w:tcPr>
            <w:tcW w:w="4570" w:type="dxa"/>
            <w:vAlign w:val="center"/>
          </w:tcPr>
          <w:p w14:paraId="5E5DB5F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法律援助条例》(湖南省第十一届人民代表大会常务委员会公告第53号）第十四条：公民向户籍所在地或者长期居住地乡镇人民政府、街道办事处申请出具经济困难证明的，乡镇人民政府、街道办事处应当在三个工作日内对申请人的家庭人口、就业情况等进行审查。对符合条件的，出具证明；对不符合条件的，不出具证明，并说明理由。</w:t>
            </w:r>
          </w:p>
        </w:tc>
        <w:tc>
          <w:tcPr>
            <w:tcW w:w="1156" w:type="dxa"/>
            <w:vAlign w:val="center"/>
          </w:tcPr>
          <w:p w14:paraId="2C760FBB">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1B8CF019">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360468DE">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330AF70">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03B1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87" w:type="dxa"/>
            <w:vAlign w:val="center"/>
          </w:tcPr>
          <w:p w14:paraId="2317B72B">
            <w:pPr>
              <w:keepNext w:val="0"/>
              <w:keepLines w:val="0"/>
              <w:widowControl/>
              <w:suppressLineNumbers w:val="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21</w:t>
            </w:r>
          </w:p>
        </w:tc>
        <w:tc>
          <w:tcPr>
            <w:tcW w:w="1145" w:type="dxa"/>
            <w:vAlign w:val="center"/>
          </w:tcPr>
          <w:p w14:paraId="08EA9454">
            <w:pPr>
              <w:keepNext w:val="0"/>
              <w:keepLines w:val="0"/>
              <w:widowControl/>
              <w:suppressLineNumbers w:val="0"/>
              <w:jc w:val="left"/>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行政确认</w:t>
            </w:r>
          </w:p>
        </w:tc>
        <w:tc>
          <w:tcPr>
            <w:tcW w:w="1788" w:type="dxa"/>
            <w:vAlign w:val="center"/>
          </w:tcPr>
          <w:p w14:paraId="0DEC2D71">
            <w:pPr>
              <w:pStyle w:val="23"/>
              <w:keepNext w:val="0"/>
              <w:keepLines w:val="0"/>
              <w:pageBreakBefore w:val="0"/>
              <w:widowControl/>
              <w:kinsoku/>
              <w:wordWrap/>
              <w:overflowPunct/>
              <w:topLinePunct w:val="0"/>
              <w:autoSpaceDE/>
              <w:autoSpaceDN/>
              <w:adjustRightInd/>
              <w:snapToGrid/>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特困人员认定和救助供养待遇审核及监督管理</w:t>
            </w:r>
          </w:p>
          <w:p w14:paraId="133CCD8E">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p>
        </w:tc>
        <w:tc>
          <w:tcPr>
            <w:tcW w:w="4570" w:type="dxa"/>
            <w:vAlign w:val="center"/>
          </w:tcPr>
          <w:p w14:paraId="772EB343">
            <w:pPr>
              <w:pStyle w:val="23"/>
              <w:keepNext w:val="0"/>
              <w:keepLines w:val="0"/>
              <w:pageBreakBefore w:val="0"/>
              <w:widowControl/>
              <w:kinsoku/>
              <w:wordWrap/>
              <w:overflowPunct/>
              <w:topLinePunct w:val="0"/>
              <w:autoSpaceDE/>
              <w:autoSpaceDN/>
              <w:adjustRightInd/>
              <w:snapToGrid/>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《社会救助暂行办法》（国务院令第649号）第十六条：申请特困人员供养，由本人向户籍所在地乡镇人民政府、街道办事处所出书面申请；本人申请有困难的，可以委托村民委员会、居民委员会代为提出申请。</w:t>
            </w:r>
          </w:p>
        </w:tc>
        <w:tc>
          <w:tcPr>
            <w:tcW w:w="1156" w:type="dxa"/>
            <w:vAlign w:val="center"/>
          </w:tcPr>
          <w:p w14:paraId="4842C222">
            <w:pPr>
              <w:keepNext w:val="0"/>
              <w:keepLines w:val="0"/>
              <w:widowControl/>
              <w:suppressLineNumbers w:val="0"/>
              <w:jc w:val="center"/>
              <w:rPr>
                <w:rFonts w:hint="eastAsia" w:ascii="仿宋" w:hAnsi="仿宋" w:eastAsia="仿宋" w:cs="仿宋"/>
                <w:color w:val="000000"/>
                <w:kern w:val="0"/>
                <w:sz w:val="21"/>
                <w:szCs w:val="21"/>
                <w:highlight w:val="no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59AB422C">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社会事务综合服务中心</w:t>
            </w:r>
          </w:p>
        </w:tc>
        <w:tc>
          <w:tcPr>
            <w:tcW w:w="2072" w:type="dxa"/>
            <w:vAlign w:val="center"/>
          </w:tcPr>
          <w:p w14:paraId="196B9114">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1397630D">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p>
        </w:tc>
      </w:tr>
      <w:tr w14:paraId="734F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trPr>
        <w:tc>
          <w:tcPr>
            <w:tcW w:w="787" w:type="dxa"/>
            <w:vAlign w:val="center"/>
          </w:tcPr>
          <w:p w14:paraId="6BDD861E">
            <w:pPr>
              <w:keepNext w:val="0"/>
              <w:keepLines w:val="0"/>
              <w:widowControl/>
              <w:suppressLineNumbers w:val="0"/>
              <w:jc w:val="center"/>
              <w:rPr>
                <w:rFonts w:hint="default"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val="en-US" w:eastAsia="zh-CN"/>
              </w:rPr>
              <w:t>2</w:t>
            </w:r>
          </w:p>
        </w:tc>
        <w:tc>
          <w:tcPr>
            <w:tcW w:w="1145" w:type="dxa"/>
            <w:vAlign w:val="center"/>
          </w:tcPr>
          <w:p w14:paraId="47072838">
            <w:pPr>
              <w:keepNext w:val="0"/>
              <w:keepLines w:val="0"/>
              <w:widowControl/>
              <w:suppressLineNumbers w:val="0"/>
              <w:jc w:val="left"/>
              <w:rPr>
                <w:rFonts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行政裁决</w:t>
            </w:r>
          </w:p>
        </w:tc>
        <w:tc>
          <w:tcPr>
            <w:tcW w:w="1788" w:type="dxa"/>
            <w:vAlign w:val="center"/>
          </w:tcPr>
          <w:p w14:paraId="5942A563">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个人之间、个人与单位之间发生的林木所有权和林地使用权争议处理</w:t>
            </w:r>
          </w:p>
        </w:tc>
        <w:tc>
          <w:tcPr>
            <w:tcW w:w="4570" w:type="dxa"/>
            <w:vAlign w:val="center"/>
          </w:tcPr>
          <w:p w14:paraId="045CCA8A">
            <w:pPr>
              <w:keepNext w:val="0"/>
              <w:keepLines w:val="0"/>
              <w:widowControl/>
              <w:suppressLineNumbers w:val="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《中华人民共和国森林法》（2019年12月28日修改）第二十二条：个人之间、个人与单位之间发生的林木所有权和林地使用权争议，由乡镇人民政府或者县级以上人民政府依法处理。</w:t>
            </w:r>
          </w:p>
          <w:p w14:paraId="5451F795">
            <w:pPr>
              <w:keepNext w:val="0"/>
              <w:keepLines w:val="0"/>
              <w:widowControl/>
              <w:suppressLineNumbers w:val="0"/>
              <w:jc w:val="left"/>
              <w:rPr>
                <w:rFonts w:hint="eastAsia" w:ascii="宋体" w:hAnsi="宋体" w:eastAsia="宋体" w:cs="宋体"/>
                <w:b/>
                <w:bCs/>
                <w:color w:val="000000"/>
                <w:kern w:val="0"/>
                <w:sz w:val="20"/>
                <w:szCs w:val="20"/>
                <w:highlight w:val="none"/>
                <w:vertAlign w:val="baseline"/>
                <w:lang w:val="en-US" w:eastAsia="zh-CN"/>
              </w:rPr>
            </w:pPr>
          </w:p>
        </w:tc>
        <w:tc>
          <w:tcPr>
            <w:tcW w:w="1156" w:type="dxa"/>
            <w:vAlign w:val="center"/>
          </w:tcPr>
          <w:p w14:paraId="052DD17D">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12D95F99">
            <w:pPr>
              <w:keepNext w:val="0"/>
              <w:keepLines w:val="0"/>
              <w:widowControl/>
              <w:suppressLineNumbers w:val="0"/>
              <w:rPr>
                <w:rFonts w:hint="eastAsia" w:ascii="宋体" w:hAnsi="宋体" w:eastAsia="宋体" w:cs="宋体"/>
                <w:b/>
                <w:bCs/>
                <w:color w:val="000000"/>
                <w:kern w:val="0"/>
                <w:sz w:val="20"/>
                <w:szCs w:val="20"/>
                <w:highlight w:val="none"/>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林业站</w:t>
            </w:r>
          </w:p>
        </w:tc>
        <w:tc>
          <w:tcPr>
            <w:tcW w:w="2072" w:type="dxa"/>
            <w:vAlign w:val="center"/>
          </w:tcPr>
          <w:p w14:paraId="3FBB3633">
            <w:pPr>
              <w:keepNext w:val="0"/>
              <w:keepLines w:val="0"/>
              <w:widowControl/>
              <w:suppressLineNumbers w:val="0"/>
              <w:jc w:val="center"/>
              <w:rPr>
                <w:rFonts w:hint="eastAsia" w:ascii="宋体" w:hAnsi="宋体" w:eastAsia="宋体" w:cs="宋体"/>
                <w:b/>
                <w:bCs/>
                <w:color w:val="000000"/>
                <w:kern w:val="0"/>
                <w:sz w:val="20"/>
                <w:szCs w:val="20"/>
                <w:highlight w:val="none"/>
                <w:vertAlign w:val="baseline"/>
                <w:lang w:val="en-US" w:eastAsia="zh-CN"/>
              </w:rPr>
            </w:pPr>
            <w:r>
              <w:rPr>
                <w:rFonts w:hint="eastAsia" w:ascii="仿宋" w:hAnsi="仿宋" w:eastAsia="仿宋" w:cs="仿宋"/>
                <w:color w:val="000000"/>
                <w:kern w:val="0"/>
                <w:sz w:val="21"/>
                <w:szCs w:val="21"/>
                <w:highlight w:val="none"/>
                <w:lang w:val="en-US" w:eastAsia="zh-CN"/>
              </w:rPr>
              <w:t>√</w:t>
            </w:r>
          </w:p>
        </w:tc>
        <w:tc>
          <w:tcPr>
            <w:tcW w:w="1845" w:type="dxa"/>
            <w:vAlign w:val="center"/>
          </w:tcPr>
          <w:p w14:paraId="0FC26D8D">
            <w:pPr>
              <w:keepNext w:val="0"/>
              <w:keepLines w:val="0"/>
              <w:widowControl/>
              <w:suppressLineNumbers w:val="0"/>
              <w:jc w:val="center"/>
              <w:rPr>
                <w:rFonts w:hint="eastAsia" w:ascii="宋体" w:hAnsi="宋体" w:eastAsia="宋体" w:cs="宋体"/>
                <w:b/>
                <w:bCs/>
                <w:color w:val="000000"/>
                <w:kern w:val="0"/>
                <w:sz w:val="20"/>
                <w:szCs w:val="20"/>
                <w:highlight w:val="yellow"/>
                <w:vertAlign w:val="baseline"/>
                <w:lang w:val="en-US" w:eastAsia="zh-CN"/>
              </w:rPr>
            </w:pPr>
          </w:p>
        </w:tc>
      </w:tr>
      <w:tr w14:paraId="4BD1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787" w:type="dxa"/>
            <w:vAlign w:val="center"/>
          </w:tcPr>
          <w:p w14:paraId="4C971C4F">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3</w:t>
            </w:r>
          </w:p>
        </w:tc>
        <w:tc>
          <w:tcPr>
            <w:tcW w:w="1145" w:type="dxa"/>
            <w:vAlign w:val="center"/>
          </w:tcPr>
          <w:p w14:paraId="7DEDB2D9">
            <w:pPr>
              <w:keepNext w:val="0"/>
              <w:keepLines w:val="0"/>
              <w:widowControl/>
              <w:suppressLineNumbers w:val="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行政裁决</w:t>
            </w:r>
          </w:p>
        </w:tc>
        <w:tc>
          <w:tcPr>
            <w:tcW w:w="1788" w:type="dxa"/>
            <w:vAlign w:val="center"/>
          </w:tcPr>
          <w:p w14:paraId="594BDD95">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个人之间、个人与单位之间土地权属争议裁决</w:t>
            </w:r>
          </w:p>
        </w:tc>
        <w:tc>
          <w:tcPr>
            <w:tcW w:w="4570" w:type="dxa"/>
            <w:vAlign w:val="center"/>
          </w:tcPr>
          <w:p w14:paraId="776573E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土地管理法》（2019年8月26日修正）第十四条：土地所有权和使用权争议，由当事人协商解决；协商不成的，由人民政府处理。个人之间、个人与单位之间的争议，由乡级人民政府或者县级以上人民政府处理。</w:t>
            </w:r>
          </w:p>
          <w:p w14:paraId="21BFFAD7">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土地权属争议调查处理办法》（国土资源部令第49号，2010年11月30日修正）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tc>
        <w:tc>
          <w:tcPr>
            <w:tcW w:w="1156" w:type="dxa"/>
            <w:vAlign w:val="center"/>
          </w:tcPr>
          <w:p w14:paraId="66BD8D90">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51F37230">
            <w:pPr>
              <w:keepNext w:val="0"/>
              <w:keepLines w:val="0"/>
              <w:widowControl/>
              <w:suppressLineNumbers w:val="0"/>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自然资源所</w:t>
            </w:r>
          </w:p>
        </w:tc>
        <w:tc>
          <w:tcPr>
            <w:tcW w:w="2072" w:type="dxa"/>
            <w:vAlign w:val="center"/>
          </w:tcPr>
          <w:p w14:paraId="783A62A9">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400A3E66">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0C51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trPr>
        <w:tc>
          <w:tcPr>
            <w:tcW w:w="787" w:type="dxa"/>
            <w:vAlign w:val="center"/>
          </w:tcPr>
          <w:p w14:paraId="6537271D">
            <w:pPr>
              <w:keepNext w:val="0"/>
              <w:keepLines w:val="0"/>
              <w:widowControl/>
              <w:suppressLineNumbers w:val="0"/>
              <w:jc w:val="center"/>
              <w:rPr>
                <w:rFonts w:hint="default"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4</w:t>
            </w:r>
          </w:p>
        </w:tc>
        <w:tc>
          <w:tcPr>
            <w:tcW w:w="1145" w:type="dxa"/>
            <w:vAlign w:val="center"/>
          </w:tcPr>
          <w:p w14:paraId="072CF339">
            <w:pPr>
              <w:keepNext w:val="0"/>
              <w:keepLines w:val="0"/>
              <w:widowControl/>
              <w:suppressLineNumbers w:val="0"/>
              <w:jc w:val="left"/>
              <w:rPr>
                <w:rFonts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402A1DE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消防安全监督检查</w:t>
            </w:r>
          </w:p>
        </w:tc>
        <w:tc>
          <w:tcPr>
            <w:tcW w:w="4570" w:type="dxa"/>
            <w:vAlign w:val="center"/>
          </w:tcPr>
          <w:p w14:paraId="2F80635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《中华人民共和国消防法》（主席令第六号）第五十二条：地方各级人民政府应当落实消防工作责任制，对本级人民政府有关部门履行消防安全职责的情况进行监督检查。</w:t>
            </w:r>
          </w:p>
          <w:p w14:paraId="5DBD37ED">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农村消防安全管理若干规定》（湖南省人民政府令第290号）第四条：乡（镇）人民政府应当建立农村消防安全管理、责任、保障、考评机制，每年对农村消防工作情况进行监督检查和考核；第十九条：在农业收获季节、森林防火期间、传统节日期间，乡（镇）人民政府、村（居）民委员会应当组织开展有针对性的消防宣传教育，采取防火措施，进行消防安全检查。</w:t>
            </w:r>
          </w:p>
        </w:tc>
        <w:tc>
          <w:tcPr>
            <w:tcW w:w="1156" w:type="dxa"/>
            <w:vAlign w:val="center"/>
          </w:tcPr>
          <w:p w14:paraId="10A2B985">
            <w:pPr>
              <w:keepNext w:val="0"/>
              <w:keepLines w:val="0"/>
              <w:widowControl/>
              <w:suppressLineNumbers w:val="0"/>
              <w:jc w:val="left"/>
              <w:rPr>
                <w:rFonts w:hint="eastAsia" w:ascii="宋体" w:hAnsi="宋体" w:eastAsia="宋体" w:cs="宋体"/>
                <w:b/>
                <w:bCs/>
                <w:color w:val="000000"/>
                <w:kern w:val="0"/>
                <w:sz w:val="20"/>
                <w:szCs w:val="20"/>
                <w:vertAlign w:val="baseline"/>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327785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p>
        </w:tc>
        <w:tc>
          <w:tcPr>
            <w:tcW w:w="2072" w:type="dxa"/>
            <w:vAlign w:val="center"/>
          </w:tcPr>
          <w:p w14:paraId="50126AB4">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55C26349">
            <w:pPr>
              <w:keepNext w:val="0"/>
              <w:keepLines w:val="0"/>
              <w:widowControl/>
              <w:suppressLineNumbers w:val="0"/>
              <w:jc w:val="center"/>
              <w:rPr>
                <w:rFonts w:hint="eastAsia" w:ascii="宋体" w:hAnsi="宋体" w:eastAsia="宋体" w:cs="宋体"/>
                <w:b/>
                <w:bCs/>
                <w:color w:val="000000"/>
                <w:kern w:val="0"/>
                <w:sz w:val="20"/>
                <w:szCs w:val="20"/>
                <w:vertAlign w:val="baseline"/>
                <w:lang w:val="en-US" w:eastAsia="zh-CN"/>
              </w:rPr>
            </w:pPr>
          </w:p>
        </w:tc>
      </w:tr>
      <w:tr w14:paraId="1C35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787" w:type="dxa"/>
            <w:vAlign w:val="center"/>
          </w:tcPr>
          <w:p w14:paraId="5E7EABD4">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5</w:t>
            </w:r>
          </w:p>
        </w:tc>
        <w:tc>
          <w:tcPr>
            <w:tcW w:w="1145" w:type="dxa"/>
            <w:vAlign w:val="center"/>
          </w:tcPr>
          <w:p w14:paraId="6B5093C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5A5C6AC3">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行政区域内生产经营单位安全生产状况监督检查</w:t>
            </w:r>
          </w:p>
        </w:tc>
        <w:tc>
          <w:tcPr>
            <w:tcW w:w="4570" w:type="dxa"/>
            <w:vAlign w:val="center"/>
          </w:tcPr>
          <w:p w14:paraId="49C1D32C">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中华人民共和国安全生产法》第九条：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1156" w:type="dxa"/>
            <w:vAlign w:val="center"/>
          </w:tcPr>
          <w:p w14:paraId="74E5BB6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5BD2DA09">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p>
        </w:tc>
        <w:tc>
          <w:tcPr>
            <w:tcW w:w="2072" w:type="dxa"/>
            <w:vAlign w:val="center"/>
          </w:tcPr>
          <w:p w14:paraId="21F048C1">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16AA8785">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2D73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87" w:type="dxa"/>
            <w:vAlign w:val="center"/>
          </w:tcPr>
          <w:p w14:paraId="0C88FDC0">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6</w:t>
            </w:r>
          </w:p>
        </w:tc>
        <w:tc>
          <w:tcPr>
            <w:tcW w:w="1145" w:type="dxa"/>
            <w:vAlign w:val="center"/>
          </w:tcPr>
          <w:p w14:paraId="30416C56">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44FF8F8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安全监督和特大事故防范</w:t>
            </w:r>
          </w:p>
        </w:tc>
        <w:tc>
          <w:tcPr>
            <w:tcW w:w="4570" w:type="dxa"/>
            <w:vAlign w:val="center"/>
          </w:tcPr>
          <w:p w14:paraId="0E601740">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《国务院关于特大安全事故行政责任追究的规定》(国务院令第302号)第四条：地方各级人民政府及政府有关部门应当依照有关法律、法规和规章的规定，采取行政措施，对本地区实施安全</w:t>
            </w:r>
            <w:r>
              <w:rPr>
                <w:rFonts w:hint="eastAsia" w:ascii="仿宋" w:hAnsi="仿宋" w:eastAsia="仿宋" w:cs="仿宋"/>
                <w:color w:val="000000"/>
                <w:spacing w:val="-6"/>
                <w:kern w:val="0"/>
                <w:sz w:val="21"/>
                <w:szCs w:val="21"/>
                <w:lang w:val="en-US" w:eastAsia="zh-CN"/>
              </w:rPr>
              <w:t>监督管理，保障本地区人民群众生命、财产安全，对本地区或者职责范围内防范特大安全事故的发生、特大安全事故发生后的迅速和妥善处理负责。</w:t>
            </w:r>
          </w:p>
        </w:tc>
        <w:tc>
          <w:tcPr>
            <w:tcW w:w="1156" w:type="dxa"/>
            <w:vAlign w:val="center"/>
          </w:tcPr>
          <w:p w14:paraId="6117D02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702FC474">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宋体" w:hAnsi="宋体" w:cs="宋体"/>
                <w:color w:val="000000"/>
                <w:kern w:val="0"/>
                <w:sz w:val="20"/>
                <w:szCs w:val="20"/>
                <w:vertAlign w:val="baseline"/>
                <w:lang w:val="en-US" w:eastAsia="zh-CN"/>
              </w:rPr>
              <w:t>官庄镇</w:t>
            </w:r>
            <w:r>
              <w:rPr>
                <w:rFonts w:ascii="宋体" w:hAnsi="宋体" w:eastAsia="宋体" w:cs="宋体"/>
                <w:color w:val="000000"/>
                <w:kern w:val="0"/>
                <w:sz w:val="20"/>
                <w:szCs w:val="20"/>
                <w:vertAlign w:val="baseline"/>
                <w:lang w:val="en-US" w:eastAsia="zh-CN"/>
              </w:rPr>
              <w:t>平安法治和应急管理办公室</w:t>
            </w:r>
          </w:p>
        </w:tc>
        <w:tc>
          <w:tcPr>
            <w:tcW w:w="2072" w:type="dxa"/>
            <w:vAlign w:val="center"/>
          </w:tcPr>
          <w:p w14:paraId="7F027EF8">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7032CF6C">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33A3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12FDA7C9">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7</w:t>
            </w:r>
          </w:p>
        </w:tc>
        <w:tc>
          <w:tcPr>
            <w:tcW w:w="1145" w:type="dxa"/>
            <w:vAlign w:val="center"/>
          </w:tcPr>
          <w:p w14:paraId="47312A41">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19BC835B">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对临时宗教活动地点监管 、大型宗教活动的行政检查</w:t>
            </w:r>
          </w:p>
        </w:tc>
        <w:tc>
          <w:tcPr>
            <w:tcW w:w="4570" w:type="dxa"/>
            <w:vAlign w:val="center"/>
          </w:tcPr>
          <w:p w14:paraId="1EEC5678">
            <w:pPr>
              <w:keepNext w:val="0"/>
              <w:keepLines w:val="0"/>
              <w:pageBreakBefore w:val="0"/>
              <w:widowControl/>
              <w:suppressLineNumbers w:val="0"/>
              <w:kinsoku/>
              <w:wordWrap/>
              <w:overflowPunct/>
              <w:topLinePunct w:val="0"/>
              <w:autoSpaceDE/>
              <w:autoSpaceDN/>
              <w:adjustRightInd/>
              <w:snapToGrid/>
              <w:spacing w:line="30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宗教事务条例》(国务院令第686号)第六条：各级人民政府应当加强宗教工作，建立健全教工作机制，保障工作力量和必要的工作条件。乡级人民政府应当做好本行政区域的宗教事务管理工作。第三十五条：尚不具备条件申请设立宗教活动场所的，由信教公民代表向县级人民政府宗教事务部门提出申请，县级人民政府宗教事务部门征求所在地宗教团体和乡级人民政府意见后，可以为其指定临时活动地点。所在地乡级人民政府对临时活动地点的活动进行监管。第四十二条：大型宗教活动举办地的乡级人民政府和县级以上地方人民政府有关部门应当依据各自职责实施必要的管理和指导。</w:t>
            </w:r>
          </w:p>
        </w:tc>
        <w:tc>
          <w:tcPr>
            <w:tcW w:w="1156" w:type="dxa"/>
            <w:vAlign w:val="center"/>
          </w:tcPr>
          <w:p w14:paraId="3481548A">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1C068AE5">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2072" w:type="dxa"/>
            <w:vAlign w:val="center"/>
          </w:tcPr>
          <w:p w14:paraId="466F9244">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45614D7E">
            <w:pPr>
              <w:keepNext w:val="0"/>
              <w:keepLines w:val="0"/>
              <w:widowControl/>
              <w:suppressLineNumbers w:val="0"/>
              <w:jc w:val="left"/>
              <w:rPr>
                <w:rFonts w:hint="eastAsia" w:ascii="仿宋" w:hAnsi="仿宋" w:eastAsia="仿宋" w:cs="仿宋"/>
                <w:color w:val="000000"/>
                <w:kern w:val="0"/>
                <w:sz w:val="21"/>
                <w:szCs w:val="21"/>
                <w:lang w:val="en-US" w:eastAsia="zh-CN"/>
              </w:rPr>
            </w:pPr>
          </w:p>
        </w:tc>
      </w:tr>
      <w:tr w14:paraId="17E9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87" w:type="dxa"/>
            <w:vAlign w:val="center"/>
          </w:tcPr>
          <w:p w14:paraId="02B5368E">
            <w:pPr>
              <w:keepNext w:val="0"/>
              <w:keepLines w:val="0"/>
              <w:widowControl/>
              <w:suppressLineNumbers w:val="0"/>
              <w:jc w:val="center"/>
              <w:rPr>
                <w:rFonts w:hint="default" w:ascii="仿宋" w:hAnsi="仿宋" w:eastAsia="仿宋" w:cs="仿宋"/>
                <w:color w:val="000000"/>
                <w:kern w:val="0"/>
                <w:sz w:val="21"/>
                <w:szCs w:val="21"/>
                <w:lang w:val="en-US" w:eastAsia="zh-CN"/>
              </w:rPr>
            </w:pPr>
            <w:r>
              <w:rPr>
                <w:rFonts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lang w:val="en-US" w:eastAsia="zh-CN"/>
              </w:rPr>
              <w:t>8</w:t>
            </w:r>
          </w:p>
        </w:tc>
        <w:tc>
          <w:tcPr>
            <w:tcW w:w="1145" w:type="dxa"/>
            <w:vAlign w:val="center"/>
          </w:tcPr>
          <w:p w14:paraId="6ECD023E">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监督检查</w:t>
            </w:r>
          </w:p>
        </w:tc>
        <w:tc>
          <w:tcPr>
            <w:tcW w:w="1788" w:type="dxa"/>
            <w:vAlign w:val="center"/>
          </w:tcPr>
          <w:p w14:paraId="1BD76A7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对本辖区内居民自建房安全行政检查</w:t>
            </w:r>
          </w:p>
        </w:tc>
        <w:tc>
          <w:tcPr>
            <w:tcW w:w="4570" w:type="dxa"/>
            <w:vAlign w:val="center"/>
          </w:tcPr>
          <w:p w14:paraId="7CF279FA">
            <w:pPr>
              <w:keepNext w:val="0"/>
              <w:keepLines w:val="0"/>
              <w:widowControl/>
              <w:suppressLineNumbers w:val="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湖南省居民自建房安全管理若干规定》（2022年11月23日湖南省第十三届人民代表大会常务委员会第三十四次会议通过）第二条第二款：乡镇人民政府、街道办事处应当落实属地责任，负责本辖区内居民自建房安全监督管理工作，对居民自建房的安全进行日常监管，开展居民自建房安全管理有关法律法规和安全知识的宣传，建立健全房屋安全管理员 、网格化动态管理等制度，及时制止违法建设和其他危害房屋安全的行为。</w:t>
            </w:r>
          </w:p>
        </w:tc>
        <w:tc>
          <w:tcPr>
            <w:tcW w:w="1156" w:type="dxa"/>
            <w:vAlign w:val="center"/>
          </w:tcPr>
          <w:p w14:paraId="3F25A914">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ascii="仿宋" w:hAnsi="仿宋" w:eastAsia="仿宋" w:cs="仿宋"/>
                <w:color w:val="000000"/>
                <w:kern w:val="0"/>
                <w:sz w:val="21"/>
                <w:szCs w:val="21"/>
                <w:highlight w:val="none"/>
                <w:lang w:val="en-US" w:eastAsia="zh-CN"/>
              </w:rPr>
              <w:t>沅陵县</w:t>
            </w:r>
            <w:r>
              <w:rPr>
                <w:rFonts w:hint="eastAsia" w:ascii="仿宋" w:hAnsi="仿宋" w:eastAsia="仿宋" w:cs="仿宋"/>
                <w:color w:val="000000"/>
                <w:kern w:val="0"/>
                <w:sz w:val="21"/>
                <w:szCs w:val="21"/>
                <w:highlight w:val="none"/>
                <w:lang w:val="en-US" w:eastAsia="zh-CN"/>
              </w:rPr>
              <w:t>官庄镇人民政府</w:t>
            </w:r>
          </w:p>
        </w:tc>
        <w:tc>
          <w:tcPr>
            <w:tcW w:w="1133" w:type="dxa"/>
            <w:vAlign w:val="center"/>
          </w:tcPr>
          <w:p w14:paraId="6F90997A">
            <w:pPr>
              <w:keepNext w:val="0"/>
              <w:keepLines w:val="0"/>
              <w:widowControl/>
              <w:suppressLineNumbers w:val="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官庄镇</w:t>
            </w:r>
            <w:r>
              <w:rPr>
                <w:rFonts w:ascii="仿宋" w:hAnsi="仿宋" w:eastAsia="仿宋" w:cs="仿宋"/>
                <w:color w:val="000000"/>
                <w:kern w:val="0"/>
                <w:sz w:val="21"/>
                <w:szCs w:val="21"/>
                <w:lang w:val="en-US" w:eastAsia="zh-CN"/>
              </w:rPr>
              <w:t>农业综合服务中心、</w:t>
            </w:r>
            <w:r>
              <w:rPr>
                <w:rFonts w:hint="eastAsia" w:ascii="仿宋" w:hAnsi="仿宋" w:eastAsia="仿宋" w:cs="仿宋"/>
                <w:color w:val="000000"/>
                <w:kern w:val="0"/>
                <w:sz w:val="21"/>
                <w:szCs w:val="21"/>
                <w:highlight w:val="none"/>
                <w:lang w:val="en-US" w:eastAsia="zh-CN"/>
              </w:rPr>
              <w:t>官庄镇</w:t>
            </w:r>
            <w:r>
              <w:rPr>
                <w:rFonts w:ascii="仿宋" w:hAnsi="仿宋" w:eastAsia="仿宋" w:cs="仿宋"/>
                <w:color w:val="000000"/>
                <w:kern w:val="0"/>
                <w:sz w:val="21"/>
                <w:szCs w:val="21"/>
                <w:highlight w:val="none"/>
                <w:lang w:val="en-US" w:eastAsia="zh-CN"/>
              </w:rPr>
              <w:t>生态环境办公室</w:t>
            </w:r>
          </w:p>
        </w:tc>
        <w:tc>
          <w:tcPr>
            <w:tcW w:w="2072" w:type="dxa"/>
            <w:vAlign w:val="center"/>
          </w:tcPr>
          <w:p w14:paraId="687A1930">
            <w:pPr>
              <w:keepNext w:val="0"/>
              <w:keepLines w:val="0"/>
              <w:widowControl/>
              <w:suppressLineNumbers w:val="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c>
          <w:tcPr>
            <w:tcW w:w="1845" w:type="dxa"/>
            <w:vAlign w:val="center"/>
          </w:tcPr>
          <w:p w14:paraId="65D017A7">
            <w:pPr>
              <w:keepNext w:val="0"/>
              <w:keepLines w:val="0"/>
              <w:widowControl/>
              <w:suppressLineNumbers w:val="0"/>
              <w:jc w:val="center"/>
              <w:rPr>
                <w:rFonts w:hint="eastAsia" w:ascii="仿宋" w:hAnsi="仿宋" w:eastAsia="仿宋" w:cs="仿宋"/>
                <w:color w:val="000000"/>
                <w:kern w:val="0"/>
                <w:sz w:val="21"/>
                <w:szCs w:val="21"/>
                <w:lang w:val="en-US" w:eastAsia="zh-CN"/>
              </w:rPr>
            </w:pPr>
          </w:p>
        </w:tc>
      </w:tr>
    </w:tbl>
    <w:p w14:paraId="13C8DF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jc w:val="both"/>
        <w:rPr>
          <w:rFonts w:hint="eastAsia" w:ascii="仿宋" w:hAnsi="仿宋" w:eastAsia="仿宋" w:cs="仿宋"/>
          <w:sz w:val="32"/>
          <w:szCs w:val="32"/>
        </w:rPr>
      </w:pPr>
    </w:p>
    <w:sectPr>
      <w:type w:val="continuous"/>
      <w:pgSz w:w="16838" w:h="11906" w:orient="landscape"/>
      <w:pgMar w:top="1417" w:right="1440" w:bottom="1417" w:left="1440" w:header="851" w:footer="992"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18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2" name="文本框 2"/>
              <wp:cNvGraphicFramePr/>
              <a:graphic xmlns:a="http://schemas.openxmlformats.org/drawingml/2006/main">
                <a:graphicData uri="http://schemas.microsoft.com/office/word/2010/wordprocessingShape">
                  <wps:wsp>
                    <wps:cNvSpPr/>
                    <wps:spPr>
                      <a:xfrm>
                        <a:off x="0" y="0"/>
                        <a:ext cx="145442" cy="133052"/>
                      </a:xfrm>
                      <a:prstGeom prst="rect">
                        <a:avLst/>
                      </a:prstGeom>
                      <a:noFill/>
                      <a:ln w="6350" cap="flat" cmpd="sng">
                        <a:noFill/>
                        <a:prstDash val="solid"/>
                        <a:round/>
                      </a:ln>
                    </wps:spPr>
                    <wps:txbx>
                      <w:txbxContent>
                        <w:p w14:paraId="097AA76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Qb7h1QAAAAMBAAAPAAAAAAAAAAEAIAAAACIAAABkcnMvZG93&#10;bnJldi54bWxQSwECFAAUAAAACACHTuJA2NN6yAMCAAD0AwAADgAAAAAAAAABACAAAAAkAQAAZHJz&#10;L2Uyb0RvYy54bWxQSwUGAAAAAAYABgBZAQAAmQUAAAAA&#10;">
              <v:fill on="f" focussize="0,0"/>
              <v:stroke on="f" weight="0.5pt" joinstyle="round"/>
              <v:imagedata o:title=""/>
              <o:lock v:ext="edit" aspectratio="f"/>
              <v:textbox inset="0mm,0mm,0mm,0mm" style="mso-fit-shape-to-text:t;">
                <w:txbxContent>
                  <w:p w14:paraId="097AA766">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BA805CD"/>
    <w:rsid w:val="0F5D017B"/>
    <w:rsid w:val="40C36F26"/>
    <w:rsid w:val="561845B4"/>
    <w:rsid w:val="69947859"/>
    <w:rsid w:val="6FEB6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customStyle="1" w:styleId="12">
    <w:name w:val="heading 1 Char"/>
    <w:basedOn w:val="10"/>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0"/>
    <w:link w:val="3"/>
    <w:qFormat/>
    <w:uiPriority w:val="0"/>
    <w:rPr>
      <w:rFonts w:ascii="方正兰亭黑_GBK" w:hAnsi="方正兰亭黑_GBK" w:eastAsia="黑体" w:cs="Arial"/>
      <w:b/>
      <w:bCs/>
      <w:kern w:val="2"/>
      <w:sz w:val="32"/>
      <w:szCs w:val="32"/>
      <w:lang w:val="en-US" w:eastAsia="zh-CN" w:bidi="ar-SA"/>
    </w:rPr>
  </w:style>
  <w:style w:type="character" w:customStyle="1" w:styleId="14">
    <w:name w:val="heading 3 Char"/>
    <w:basedOn w:val="10"/>
    <w:link w:val="4"/>
    <w:qFormat/>
    <w:uiPriority w:val="0"/>
    <w:rPr>
      <w:rFonts w:ascii="Calibri" w:hAnsi="Calibri" w:eastAsia="宋体" w:cs="Arial"/>
      <w:b/>
      <w:bCs/>
      <w:kern w:val="2"/>
      <w:sz w:val="32"/>
      <w:szCs w:val="32"/>
      <w:lang w:val="en-US" w:eastAsia="zh-CN" w:bidi="ar-SA"/>
    </w:rPr>
  </w:style>
  <w:style w:type="character" w:customStyle="1" w:styleId="15">
    <w:name w:val="font61"/>
    <w:basedOn w:val="10"/>
    <w:qFormat/>
    <w:uiPriority w:val="0"/>
    <w:rPr>
      <w:rFonts w:ascii="仿宋_GB2312" w:eastAsia="仿宋_GB2312" w:cs="仿宋_GB2312"/>
      <w:b/>
      <w:bCs/>
      <w:color w:val="000000"/>
      <w:sz w:val="24"/>
      <w:szCs w:val="24"/>
      <w:u w:val="none"/>
    </w:rPr>
  </w:style>
  <w:style w:type="character" w:customStyle="1" w:styleId="16">
    <w:name w:val="font41"/>
    <w:basedOn w:val="10"/>
    <w:qFormat/>
    <w:uiPriority w:val="0"/>
    <w:rPr>
      <w:rFonts w:ascii="仿宋_GB2312" w:eastAsia="仿宋_GB2312" w:cs="仿宋_GB2312"/>
      <w:color w:val="000000"/>
      <w:sz w:val="24"/>
      <w:szCs w:val="24"/>
      <w:u w:val="none"/>
    </w:rPr>
  </w:style>
  <w:style w:type="character" w:customStyle="1" w:styleId="17">
    <w:name w:val="font31"/>
    <w:basedOn w:val="10"/>
    <w:qFormat/>
    <w:uiPriority w:val="0"/>
    <w:rPr>
      <w:rFonts w:ascii="仿宋_GB2312" w:eastAsia="仿宋_GB2312" w:cs="仿宋_GB2312"/>
      <w:color w:val="000000"/>
      <w:sz w:val="24"/>
      <w:szCs w:val="24"/>
      <w:u w:val="none"/>
    </w:rPr>
  </w:style>
  <w:style w:type="character" w:customStyle="1" w:styleId="18">
    <w:name w:val="font71"/>
    <w:basedOn w:val="10"/>
    <w:qFormat/>
    <w:uiPriority w:val="0"/>
    <w:rPr>
      <w:rFonts w:ascii="仿宋_GB2312" w:eastAsia="仿宋_GB2312" w:cs="仿宋_GB2312"/>
      <w:color w:val="000000"/>
      <w:sz w:val="20"/>
      <w:szCs w:val="20"/>
      <w:u w:val="none"/>
    </w:rPr>
  </w:style>
  <w:style w:type="character" w:customStyle="1" w:styleId="19">
    <w:name w:val="font91"/>
    <w:basedOn w:val="10"/>
    <w:qFormat/>
    <w:uiPriority w:val="0"/>
    <w:rPr>
      <w:rFonts w:ascii="仿宋_GB2312" w:eastAsia="仿宋_GB2312" w:cs="仿宋_GB2312"/>
      <w:b/>
      <w:bCs/>
      <w:color w:val="000000"/>
      <w:sz w:val="20"/>
      <w:szCs w:val="20"/>
      <w:u w:val="none"/>
    </w:rPr>
  </w:style>
  <w:style w:type="character" w:customStyle="1" w:styleId="20">
    <w:name w:val="font101"/>
    <w:basedOn w:val="10"/>
    <w:qFormat/>
    <w:uiPriority w:val="0"/>
    <w:rPr>
      <w:rFonts w:ascii="仿宋_GB2312" w:eastAsia="仿宋_GB2312" w:cs="仿宋_GB2312"/>
      <w:b/>
      <w:bCs/>
      <w:color w:val="FF0000"/>
      <w:sz w:val="20"/>
      <w:szCs w:val="20"/>
      <w:u w:val="none"/>
    </w:rPr>
  </w:style>
  <w:style w:type="character" w:customStyle="1" w:styleId="21">
    <w:name w:val="font51"/>
    <w:basedOn w:val="10"/>
    <w:qFormat/>
    <w:uiPriority w:val="0"/>
    <w:rPr>
      <w:rFonts w:ascii="仿宋_GB2312" w:eastAsia="仿宋_GB2312" w:cs="仿宋_GB2312"/>
      <w:color w:val="000000"/>
      <w:sz w:val="20"/>
      <w:szCs w:val="20"/>
      <w:u w:val="none"/>
    </w:rPr>
  </w:style>
  <w:style w:type="character" w:customStyle="1" w:styleId="22">
    <w:name w:val="font81"/>
    <w:basedOn w:val="10"/>
    <w:qFormat/>
    <w:uiPriority w:val="0"/>
    <w:rPr>
      <w:rFonts w:ascii="仿宋_GB2312" w:eastAsia="仿宋_GB2312" w:cs="仿宋_GB2312"/>
      <w:b/>
      <w:bCs/>
      <w:color w:val="FF0000"/>
      <w:sz w:val="20"/>
      <w:szCs w:val="20"/>
      <w:u w:val="none"/>
    </w:rPr>
  </w:style>
  <w:style w:type="paragraph" w:customStyle="1" w:styleId="23">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0CD47-FCF0-4056-A576-F12983ECAA58}">
  <ds:schemaRefs/>
</ds:datastoreItem>
</file>

<file path=docProps/app.xml><?xml version="1.0" encoding="utf-8"?>
<Properties xmlns="http://schemas.openxmlformats.org/officeDocument/2006/extended-properties" xmlns:vt="http://schemas.openxmlformats.org/officeDocument/2006/docPropsVTypes">
  <Template>Normal.eit</Template>
  <Pages>10</Pages>
  <Words>6202</Words>
  <Characters>6329</Characters>
  <Lines>0</Lines>
  <Paragraphs>23</Paragraphs>
  <TotalTime>8</TotalTime>
  <ScaleCrop>false</ScaleCrop>
  <LinksUpToDate>false</LinksUpToDate>
  <CharactersWithSpaces>6419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2025-10-17T12:00:00Z</dcterms:created>
  <dc:creator>Administrator</dc:creator>
  <cp:lastModifiedBy>娃娃</cp:lastModifiedBy>
  <cp:lastPrinted>2025-11-26T12:39:00Z</cp:lastPrinted>
  <dcterms:modified xsi:type="dcterms:W3CDTF">2025-12-24T08:36:19Z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eyJoZGlkIjoiNjE4NGY3Y2MyOWY1NzliNGI0MWJjOGZiZDI4MzRkMDYiLCJ1c2VySWQiOiI1MzY4MjE4MjAifQ==</vt:lpwstr>
  </property>
  <property fmtid="{D5CDD505-2E9C-101B-9397-08002B2CF9AE}" pid="4" name="ICV">
    <vt:lpwstr>72A5504BE7534DF280502A68D09E9E78_13</vt:lpwstr>
  </property>
</Properties>
</file>