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eastAsia="华康简标题宋"/>
          <w:color w:val="FF0000"/>
          <w:spacing w:val="-6"/>
          <w:w w:val="48"/>
          <w:sz w:val="144"/>
          <w:szCs w:val="144"/>
          <w:lang w:val="en-US"/>
        </w:rPr>
      </w:pPr>
      <w:r>
        <w:rPr>
          <w:rFonts w:hint="eastAsia" w:eastAsia="华康简标题宋"/>
          <w:color w:val="FF0000"/>
          <w:spacing w:val="-6"/>
          <w:w w:val="48"/>
          <w:sz w:val="144"/>
          <w:szCs w:val="144"/>
        </w:rPr>
        <w:t>深溪口</w:t>
      </w:r>
      <w:r>
        <w:rPr>
          <w:rFonts w:hint="eastAsia" w:eastAsia="华康简标题宋"/>
          <w:color w:val="FF0000"/>
          <w:spacing w:val="-6"/>
          <w:w w:val="48"/>
          <w:sz w:val="144"/>
          <w:szCs w:val="144"/>
          <w:lang w:val="en-US" w:eastAsia="zh-CN"/>
        </w:rPr>
        <w:t>便民服务中心文件</w:t>
      </w:r>
    </w:p>
    <w:p>
      <w:pPr>
        <w:pStyle w:val="7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[20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]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>
      <w:pPr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667375" cy="0"/>
                <wp:effectExtent l="0" t="13970" r="952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7.8pt;height:0pt;width:446.25pt;z-index:251659264;mso-width-relative:page;mso-height-relative:page;" filled="f" stroked="t" coordsize="21600,21600" o:gfxdata="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YrHTtQAAAAIAQAADwAAAAAAAAABACAAAAAiAAAAZHJzL2Rvd25yZXYueG1s&#10;UEsBAhQAFAAAAAgAh07iQCqurAj8AQAA8wMAAA4AAAAAAAAAAQAgAAAAIw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cs="宋体"/>
          <w:b/>
          <w:color w:val="auto"/>
          <w:w w:val="1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color w:val="auto"/>
          <w:w w:val="100"/>
          <w:kern w:val="0"/>
          <w:sz w:val="44"/>
          <w:szCs w:val="44"/>
          <w:shd w:val="clear" w:color="auto" w:fill="FFFFFF"/>
          <w:lang w:eastAsia="zh-CN"/>
        </w:rPr>
        <w:t>沅陵镇深溪口便民服务中心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b/>
          <w:color w:val="auto"/>
          <w:w w:val="1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color w:val="auto"/>
          <w:w w:val="100"/>
          <w:kern w:val="0"/>
          <w:sz w:val="44"/>
          <w:szCs w:val="44"/>
          <w:shd w:val="clear" w:color="auto" w:fill="FFFFFF"/>
          <w:lang w:eastAsia="zh-CN"/>
        </w:rPr>
        <w:t>部门</w:t>
      </w:r>
      <w:r>
        <w:rPr>
          <w:rFonts w:hint="eastAsia" w:ascii="宋体" w:hAnsi="宋体" w:eastAsia="宋体" w:cs="宋体"/>
          <w:b/>
          <w:color w:val="auto"/>
          <w:w w:val="100"/>
          <w:kern w:val="0"/>
          <w:sz w:val="44"/>
          <w:szCs w:val="44"/>
          <w:shd w:val="clear" w:color="auto" w:fill="FFFFFF"/>
          <w:lang w:eastAsia="zh-CN"/>
        </w:rPr>
        <w:t>整体支出绩效自评报告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b/>
          <w:color w:val="auto"/>
          <w:w w:val="100"/>
          <w:kern w:val="0"/>
          <w:sz w:val="44"/>
          <w:szCs w:val="44"/>
          <w:shd w:val="clear" w:color="auto" w:fill="FFFFFF"/>
          <w:lang w:eastAsia="zh-CN"/>
        </w:rPr>
      </w:pPr>
    </w:p>
    <w:p>
      <w:pPr>
        <w:shd w:val="clear" w:color="auto" w:fill="FFFFFF"/>
        <w:spacing w:line="640" w:lineRule="exact"/>
        <w:ind w:firstLine="643" w:firstLineChars="20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一、部门概况</w:t>
      </w:r>
    </w:p>
    <w:p>
      <w:pPr>
        <w:shd w:val="clear" w:color="auto" w:fill="FFFFFF"/>
        <w:spacing w:line="640" w:lineRule="exact"/>
        <w:ind w:firstLine="64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（一）部门基本情况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在职人员情况：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部门整体支出绩效自评单位构成包括：沅陵镇深溪口便民服务中心本级，无二级机构。截止2022年12月31日，本单位经县编委核定的编制人数为46人（其中行政编制29人，事业编制17人）。年末实有人数46人（其中行政编制29人，事业编制17人）。</w:t>
      </w:r>
    </w:p>
    <w:p>
      <w:pPr>
        <w:spacing w:line="560" w:lineRule="exac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机构设置：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内设机构包括：党政综合办公室、党建工作站、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乡村振兴办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、社会管理综合治理办公室、民政所、卫生和计划生育办公室、社会保障服务中心、农业综合服务中心、林业站、安全生产监督管理服务中心、经管站、财政所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、移民站、国土站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等。</w:t>
      </w:r>
    </w:p>
    <w:p>
      <w:pPr>
        <w:spacing w:line="560" w:lineRule="exac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3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重点工作计划：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第一，坚持扎实开展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乡村振兴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工作；第二，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坚持人居环境整治，构建美丽乡村；第三，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坚持因地制宜，发展优势主导产业，推进基础设施建设；第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，坚持强化队伍、转变作风，练好内功；第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，坚定不移推动项目建设，不断增强发展后劲；第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，坚持为人民服务，办好事办实事，打造服务型政府。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（二）部门整体支出规模、使用方向和主要内容、涉及范围等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年共支出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1893.4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，评分为97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分。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其中：工资福利支出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419.08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万元；商品和服务支出为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323.12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万元；对个人和家庭的补助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183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万元；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其他支出973.2万元。2022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年“三公”经费总额为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26.38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</w:t>
      </w:r>
    </w:p>
    <w:p>
      <w:pPr>
        <w:shd w:val="clear" w:color="auto" w:fill="FFFFFF"/>
        <w:spacing w:line="640" w:lineRule="exact"/>
        <w:ind w:firstLine="64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二、部门整体支出管理及使用情况</w:t>
      </w:r>
    </w:p>
    <w:p>
      <w:pPr>
        <w:shd w:val="clear" w:color="auto" w:fill="FFFFFF"/>
        <w:spacing w:line="640" w:lineRule="exact"/>
        <w:ind w:firstLine="643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（一）基本支出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基本支出主要用于发放人员工资、办公行政、公务接待、公务用车运行维护、生活补助、电费等日常支出。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年基本支出共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606.49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万元。其中：工资福利支出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419.08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万元；商品和服务支出为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111.41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万元；对个人和家庭的补助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76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</w:t>
      </w:r>
    </w:p>
    <w:p>
      <w:pPr>
        <w:shd w:val="clear" w:color="auto" w:fill="FFFFFF"/>
        <w:spacing w:line="640" w:lineRule="exact"/>
        <w:ind w:firstLine="64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年“三公”经费预算控制数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万元，其中：公务用车运行维护费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万元，公务接待费20万元。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年“三公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经费总额为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26.38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万元。其中：公务用车运行维护费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6.55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万元，公务接待费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19.83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万元。因严格执行“厉行节约、反对浪费”的规定，严格控制“三公”经费支出，加强公务用车管理，所以“三公经费”使用情况符合县建议支出数，未超过标准。</w:t>
      </w:r>
    </w:p>
    <w:p>
      <w:pPr>
        <w:shd w:val="clear" w:color="auto" w:fill="FFFFFF"/>
        <w:spacing w:line="640" w:lineRule="exact"/>
        <w:ind w:firstLine="643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（二）专项支出</w:t>
      </w:r>
    </w:p>
    <w:p>
      <w:pPr>
        <w:spacing w:line="62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年由财政拨款安排专项支出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1291.9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。本单位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制定了机关财务管理制度，明确了专项支出审批程序，对专项资金加强了监管。</w:t>
      </w:r>
    </w:p>
    <w:p>
      <w:pPr>
        <w:shd w:val="clear" w:color="auto" w:fill="FFFFFF"/>
        <w:spacing w:line="640" w:lineRule="exact"/>
        <w:ind w:firstLine="64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三、部门专项组织实施情况</w:t>
      </w:r>
    </w:p>
    <w:p>
      <w:pPr>
        <w:widowControl/>
        <w:shd w:val="clear" w:color="auto" w:fill="FFFFFF"/>
        <w:ind w:firstLine="641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（一）专项组织情况分析</w:t>
      </w:r>
    </w:p>
    <w:p>
      <w:pPr>
        <w:widowControl/>
        <w:shd w:val="clear" w:color="auto" w:fill="FFFFFF"/>
        <w:ind w:firstLine="641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乡村振兴项目的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支出，均用在基础设施、产业发展等方面。对村级一事一议都通过了投资评审、竣工验收等程序。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专项管理情况分析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为切实规范专项资金管理，保障资金安全、高效运行，发挥资金使用效益，特制定以下管理制度：第一，专项资金实行“专人管理、专户储存、专账核算、专项使用”；第二，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请示；第三，严格专项资金初审、审核、审核制度，不准缺项和越程序办理手续，各类专项资金审批程序，以该专项资金审批表所列内容和文件要求为准；第四，专项资金报账拨付要附真实、有效、合法的凭证。</w:t>
      </w:r>
    </w:p>
    <w:p>
      <w:pPr>
        <w:shd w:val="clear" w:color="auto" w:fill="FFFFFF"/>
        <w:spacing w:line="640" w:lineRule="exact"/>
        <w:ind w:firstLine="64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四、资产管理情况</w:t>
      </w:r>
    </w:p>
    <w:p>
      <w:pPr>
        <w:spacing w:line="620" w:lineRule="exact"/>
        <w:ind w:firstLine="720" w:firstLineChars="225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为规范固定资产管理，实现固定资产的优化配置，我中心制定了固定资产管理制度，固定资产指定专人管理，及时登记，科学使用，每年年末对固定资产进行清查盘点，固定资产的调出、处置、报废、报损严格执行国家有关规定的审批程序办理。</w:t>
      </w:r>
    </w:p>
    <w:p>
      <w:pPr>
        <w:spacing w:line="620" w:lineRule="exact"/>
        <w:ind w:firstLine="720" w:firstLineChars="225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年底资产共计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2396.1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万元，其中流动资产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905.7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万元(财政应返还额度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366.11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万元），固定资产合计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182.46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</w:t>
      </w:r>
    </w:p>
    <w:p>
      <w:pPr>
        <w:shd w:val="clear" w:color="auto" w:fill="FFFFFF"/>
        <w:spacing w:line="640" w:lineRule="exact"/>
        <w:ind w:firstLine="64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五、部门整体支出绩效情况</w:t>
      </w:r>
    </w:p>
    <w:p>
      <w:pPr>
        <w:pStyle w:val="3"/>
        <w:bidi w:val="0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推动乡村厕所改造和人居环境整治：隆兴村、深溪口村、龙子坪村、卢家湾村、三坝滩村、桂竹潭村、文家村7村实施厕所改造201户。11月成功举办全县人居环境整治现场会，打造隆兴村民俗民宿体验区和休闲垂钓示范区，成为农村周末观光、休闲垂钓的打卡点。隆兴村利用村里大学生资源，在原本不整洁的墙面上进行彩绘，涉及政策口号、乡村振兴、文化倡导、农村丰收时节的景象等，并成功申报市级乡村振兴示范村项目，在村内倡导垃圾分类、整治卫生死角、拆除猪舍鸡棚等措施，着力提升人居环境水平，让群众幸福感、获得感进一步增强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产业蓬勃发展：发展生产增收。有农村种养专业合作社9个，其中4个山林鸡鸡专业合作社、4个生猪养殖专业合作社、1个茶叶专业合作社、1个水果专业合作社，有特色农家乐4家，电商服务中心（站）10个。以沅陵县宏泰农业开发有限公司、深溪口横石生态土鸡养殖专业合作社、深溪口生态土鸡养殖专业合作社为龙头的生态林下鸡企业，实行“公司+合作社+农户”的运作模式，为农户提供采购鸡苗、饲料、集中育雏、统一销售以及养殖相关技术指导等一条龙服务。带动当地农户152户，人均增收3800元。积极培育以深溪口村、隆兴村为生态小水果的示范点基地。有生态露天草莓基地100亩，带动农户35户113人，人均增收2000元。柚子100亩，带动农户15户49人，人均增收1000元。香瓜、西瓜100亩，带动农户55户206人，人均增收1500元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（三）民生得到持续改善：在提升民生福祉上狠下功夫。全面落实教育助学金、两免一补等各项政策，全乡无一人辍学，202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，城乡居民养老保险保费征缴完成389340元3122人。4-9月，养老保险人员审核生存认证4000人次全年，上报小额贷款材料5份，5人享受政府补贴。审核上报就业创业登记证资料8份；完成系统内37人的复核工作。完成8人的灵活就业社保返还资料申报及完成深溪口政府公益性岗位4人的养老保险、医保、失业保险申报工作。11月底，全中心农村劳动力转移人数2762人，其中贫困劳动力482人。2021年，完成贫困劳动力外出务工车补资料申报与资金打卡发放（共27人,9600元）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（四）平安建设纳入乡村振兴战略：开展创建“平安沅陵”及“社会治理创新”活动， 推行“中心户长”制，9个行政村，划分42个网格，129个微网格，形成党建网格与平安网格“双网融合”，排查矛盾纠纷19起,成功调解18起，调解成功率94.74%。加强宣传，采取悬挂横幅30条，发放宣传单1200余份，张贴标语300余条，参加综治保险2813户，99%参保。开展全民禁毒宣传教育活动4次，各村组织禁种踏查排查1次，固定标语5幅，横幅40余条，发放宣传折页1000份。反邪教警示教育活动1次，发放宣传资料200余份。加大扫黑除恶宣传，设置大型广告宣传牌3块，固定标语28幅，张贴公告500份,各村、各行业部门每月开展一次滚动排查。提升乡村治安防控能力，维护政治社会和谐稳定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）党的建设不断加强：有农村种养专业合作社9个，其中4个山林鸡鸡专业合作社、4个生猪养殖专业合作社、1个茶叶专业合作社、1个水果专业合作社，有特色农家乐4家，电商服务中心（站）10个。以沅陵县宏泰农业开发有限公司、深溪口横石生态土鸡养殖专业合作社、深溪口生态土鸡养殖专业合作社为龙头的生态林下鸡企业，实行“公司+合作社+农户”的运作模式，为农户提供采购鸡苗、饲料、集中育雏、统一销售以及养殖相关技术指导等一条龙服务。带动当地农户152户，人均增收3800元。积极培育以深溪口村、隆兴村为生态小水果的示范点基地。有生态露天草莓基地100亩，带动农户35户113人，人均增收2000元。柚子100亩，带动农户15户49人，人均增收1000元。香瓜、西瓜100亩，带动农户55户206人，人均增收1500元。</w:t>
      </w:r>
    </w:p>
    <w:p>
      <w:pPr>
        <w:shd w:val="clear" w:color="auto" w:fill="FFFFFF"/>
        <w:spacing w:line="640" w:lineRule="exact"/>
        <w:ind w:firstLine="64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六、存在的主要问题</w:t>
      </w:r>
    </w:p>
    <w:p>
      <w:pPr>
        <w:widowControl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财政收入有限，收入来源较单一，经济发展力度不够。乡镇一级的财政时常陷入困境、入不敷出。然而经济社会的发展却一刻也离不开资金支持，无论是公共服务还是公益事业，离开了资金都将是空谈。单纯依靠上级财政拨付，维持机关运转尚且困难，更别谈产业机构调整。由此也导致了资金紧张问题。</w:t>
      </w:r>
    </w:p>
    <w:p>
      <w:pPr>
        <w:ind w:firstLine="435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（二）财务预算管理制度不健全。工作的对象十分复杂，但却没有准确、科学的财务预算管理作为保障就极易造成资金、物资等资源的浪费，而目前在财务预算的编制上，往往是为了预算而预算，忽视预算与实际工作需要的一致性，致使多次追加预算，预算完成率却不高。</w:t>
      </w:r>
    </w:p>
    <w:p>
      <w:pPr>
        <w:shd w:val="clear" w:color="auto" w:fill="FFFFFF"/>
        <w:spacing w:line="640" w:lineRule="exact"/>
        <w:ind w:firstLine="64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七、改进措施和有关建议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大力发展乡镇经济，拓宽乡镇财源。大力调整产业结构，引导农民根据市场组织生产，发展自己的优势产业；大力发展乡镇企业，引导部分乡镇企业围绕调整和优化农业产业结构，开过农产品深加工和销售市场；大力发展个体私营经济，为农村个体私营经济的发展创造宽松的外部环境，使个体私营经济成为乡镇经济发展的新力量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细化预算编制工作，认真做好预算的编制。进一步加强单位内部机构各部门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推行内部各部门预算“二上二下”方式，提高预算的合理性和准确性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严格把控“三公经费”的使用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widowControl/>
        <w:shd w:val="clear" w:color="auto" w:fill="FFFFFF"/>
        <w:spacing w:line="560" w:lineRule="exact"/>
        <w:ind w:right="160"/>
        <w:jc w:val="righ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line="560" w:lineRule="exact"/>
        <w:ind w:right="160"/>
        <w:jc w:val="righ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righ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line="420" w:lineRule="atLeast"/>
        <w:ind w:firstLine="640" w:firstLineChars="200"/>
        <w:jc w:val="center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深溪口便民服务中心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70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EFE19"/>
    <w:multiLevelType w:val="singleLevel"/>
    <w:tmpl w:val="87CEFE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jk2ZjYxMTIwNWIxZDMyNTMyMzdlZWY1MDI5YzQifQ=="/>
  </w:docVars>
  <w:rsids>
    <w:rsidRoot w:val="18825B75"/>
    <w:rsid w:val="030F3D34"/>
    <w:rsid w:val="0BB72BD8"/>
    <w:rsid w:val="18825B75"/>
    <w:rsid w:val="244C424C"/>
    <w:rsid w:val="6FE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widowControl/>
      <w:spacing w:before="60" w:after="100" w:afterAutospacing="1"/>
      <w:ind w:left="300" w:right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3567</Words>
  <Characters>3814</Characters>
  <Lines>0</Lines>
  <Paragraphs>0</Paragraphs>
  <TotalTime>1349</TotalTime>
  <ScaleCrop>false</ScaleCrop>
  <LinksUpToDate>false</LinksUpToDate>
  <CharactersWithSpaces>3869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2023-05-17T09:50:00Z</dcterms:created>
  <dc:creator>Administrator</dc:creator>
  <cp:lastModifiedBy>Administrator</cp:lastModifiedBy>
  <dcterms:modified xsi:type="dcterms:W3CDTF">2023-05-22T06:53:01Z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EBEEA32F645F441CB9947F61E25A477B_11</vt:lpwstr>
  </property>
</Properties>
</file>