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2020年烟花爆竹监管执法</w:t>
      </w:r>
      <w:r>
        <w:rPr>
          <w:rFonts w:hint="eastAsia" w:eastAsia="方正小标宋简体"/>
          <w:sz w:val="44"/>
          <w:szCs w:val="44"/>
        </w:rPr>
        <w:t>工作</w:t>
      </w:r>
      <w:r>
        <w:rPr>
          <w:rFonts w:eastAsia="方正小标宋简体"/>
          <w:sz w:val="44"/>
          <w:szCs w:val="44"/>
        </w:rPr>
        <w:t>计划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全</w:t>
      </w:r>
      <w:r>
        <w:rPr>
          <w:rFonts w:hint="eastAsia" w:eastAsia="黑体"/>
          <w:sz w:val="32"/>
          <w:szCs w:val="32"/>
        </w:rPr>
        <w:t>县</w:t>
      </w:r>
      <w:r>
        <w:rPr>
          <w:rFonts w:eastAsia="黑体"/>
          <w:sz w:val="32"/>
          <w:szCs w:val="32"/>
        </w:rPr>
        <w:t>烟花爆竹生产经营企业基本情况</w:t>
      </w:r>
    </w:p>
    <w:p>
      <w:pPr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截止2019年底，全</w:t>
      </w:r>
      <w:r>
        <w:rPr>
          <w:rFonts w:hint="eastAsia" w:eastAsia="仿宋_GB2312"/>
          <w:sz w:val="32"/>
          <w:szCs w:val="32"/>
        </w:rPr>
        <w:t>县</w:t>
      </w:r>
      <w:r>
        <w:rPr>
          <w:rFonts w:eastAsia="仿宋_GB2312"/>
          <w:sz w:val="32"/>
          <w:szCs w:val="32"/>
        </w:rPr>
        <w:t>共有烟花爆竹</w:t>
      </w:r>
      <w:r>
        <w:rPr>
          <w:rFonts w:hint="eastAsia" w:eastAsia="仿宋_GB2312"/>
          <w:sz w:val="32"/>
          <w:szCs w:val="32"/>
        </w:rPr>
        <w:t>批发公司3</w:t>
      </w:r>
      <w:r>
        <w:rPr>
          <w:rFonts w:eastAsia="仿宋_GB2312"/>
          <w:sz w:val="32"/>
          <w:szCs w:val="32"/>
        </w:rPr>
        <w:t>家，分布在</w:t>
      </w:r>
      <w:r>
        <w:rPr>
          <w:rFonts w:hint="eastAsia" w:eastAsia="仿宋_GB2312"/>
          <w:sz w:val="32"/>
          <w:szCs w:val="32"/>
        </w:rPr>
        <w:t>五强溪镇、麻溪铺镇、凉水井镇。</w:t>
      </w:r>
      <w:r>
        <w:rPr>
          <w:rFonts w:eastAsia="仿宋_GB2312"/>
          <w:sz w:val="32"/>
          <w:szCs w:val="32"/>
        </w:rPr>
        <w:t>全</w:t>
      </w:r>
      <w:r>
        <w:rPr>
          <w:rFonts w:hint="eastAsia" w:eastAsia="仿宋_GB2312"/>
          <w:sz w:val="32"/>
          <w:szCs w:val="32"/>
        </w:rPr>
        <w:t>县</w:t>
      </w:r>
      <w:r>
        <w:rPr>
          <w:rFonts w:eastAsia="仿宋_GB2312"/>
          <w:sz w:val="32"/>
          <w:szCs w:val="32"/>
        </w:rPr>
        <w:t>共有零售经营点（店）</w:t>
      </w:r>
      <w:r>
        <w:rPr>
          <w:rFonts w:hint="eastAsia" w:eastAsia="仿宋_GB2312"/>
          <w:sz w:val="32"/>
          <w:szCs w:val="32"/>
        </w:rPr>
        <w:t>212</w:t>
      </w:r>
      <w:r>
        <w:rPr>
          <w:rFonts w:eastAsia="仿宋_GB2312"/>
          <w:sz w:val="32"/>
          <w:szCs w:val="32"/>
        </w:rPr>
        <w:t>个。</w:t>
      </w:r>
      <w:r>
        <w:rPr>
          <w:rFonts w:hint="eastAsia" w:eastAsia="仿宋_GB2312"/>
          <w:sz w:val="32"/>
          <w:szCs w:val="32"/>
        </w:rPr>
        <w:t>按重点等级划分，全县重点单位3家，纳入市局行政执法计划1家。其中，C档重点单位3家，一般单位212家。</w:t>
      </w:r>
      <w:r>
        <w:rPr>
          <w:rFonts w:eastAsia="仿宋_GB2312"/>
          <w:sz w:val="32"/>
          <w:szCs w:val="32"/>
        </w:rPr>
        <w:t>从业人员近</w:t>
      </w:r>
      <w:r>
        <w:rPr>
          <w:rFonts w:hint="eastAsia" w:eastAsia="仿宋_GB2312"/>
          <w:sz w:val="32"/>
          <w:szCs w:val="32"/>
        </w:rPr>
        <w:t>300余</w:t>
      </w:r>
      <w:r>
        <w:rPr>
          <w:rFonts w:eastAsia="仿宋_GB2312"/>
          <w:sz w:val="32"/>
          <w:szCs w:val="32"/>
        </w:rPr>
        <w:t>人。2019年未发生</w:t>
      </w:r>
      <w:r>
        <w:rPr>
          <w:rFonts w:hint="eastAsia" w:eastAsia="仿宋_GB2312"/>
          <w:sz w:val="32"/>
          <w:szCs w:val="32"/>
        </w:rPr>
        <w:t>烟花爆竹安全生产</w:t>
      </w:r>
      <w:r>
        <w:rPr>
          <w:rFonts w:eastAsia="仿宋_GB2312"/>
          <w:sz w:val="32"/>
          <w:szCs w:val="32"/>
        </w:rPr>
        <w:t>事故。</w:t>
      </w:r>
    </w:p>
    <w:p>
      <w:pPr>
        <w:spacing w:after="0"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二、主要执法依据</w:t>
      </w:r>
    </w:p>
    <w:p>
      <w:pPr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（一）《</w:t>
      </w:r>
      <w:r>
        <w:rPr>
          <w:rFonts w:hint="eastAsia" w:eastAsia="仿宋_GB2312"/>
          <w:sz w:val="32"/>
          <w:szCs w:val="32"/>
          <w:lang w:eastAsia="zh-CN"/>
        </w:rPr>
        <w:t>中华人民共和国</w:t>
      </w:r>
      <w:r>
        <w:rPr>
          <w:rFonts w:eastAsia="仿宋_GB2312"/>
          <w:sz w:val="32"/>
          <w:szCs w:val="32"/>
        </w:rPr>
        <w:t>安全生产法》《</w:t>
      </w:r>
      <w:r>
        <w:rPr>
          <w:rFonts w:hint="eastAsia" w:eastAsia="仿宋_GB2312"/>
          <w:sz w:val="32"/>
          <w:szCs w:val="32"/>
          <w:lang w:eastAsia="zh-CN"/>
        </w:rPr>
        <w:t>中华人民共和国</w:t>
      </w:r>
      <w:r>
        <w:rPr>
          <w:rFonts w:eastAsia="仿宋_GB2312"/>
          <w:sz w:val="32"/>
          <w:szCs w:val="32"/>
        </w:rPr>
        <w:t>行政处罚法》《烟花爆竹安全管理条例》《生产安全事故应急条例》《湖南省安全生产条例》；</w:t>
      </w:r>
      <w:bookmarkStart w:id="0" w:name="_GoBack"/>
      <w:bookmarkEnd w:id="0"/>
    </w:p>
    <w:p>
      <w:pPr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《烟花爆竹生产企业安全生产许可证实施办法》《烟花爆竹生产经营安全规定》《安全生产违法行为行政处罚办法》《烟花爆竹经营许可实施办法》《安全生产监管监察职责和行政执法责任追究的暂行规定》《烟花爆竹工程设计安全规范》《烟花爆竹安全与质量》《烟花爆竹安全作业技术规程》；</w:t>
      </w:r>
    </w:p>
    <w:p>
      <w:pPr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（三）其他相关法律法规和标准规范及法规性规范性文件。</w:t>
      </w:r>
    </w:p>
    <w:p>
      <w:pPr>
        <w:spacing w:after="0"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三、重点检查内容</w:t>
      </w:r>
    </w:p>
    <w:p>
      <w:pPr>
        <w:spacing w:after="0" w:line="560" w:lineRule="exact"/>
        <w:ind w:firstLine="640" w:firstLineChars="200"/>
        <w:rPr>
          <w:b/>
          <w:sz w:val="32"/>
          <w:szCs w:val="32"/>
        </w:rPr>
      </w:pPr>
      <w:r>
        <w:rPr>
          <w:rFonts w:eastAsia="仿宋_GB2312"/>
          <w:sz w:val="32"/>
          <w:szCs w:val="32"/>
        </w:rPr>
        <w:t>对生产经营单位是否具备有关法律、法规、规章和国家标准或者行业标准规定的安全生产条件进行监督检查，重点</w:t>
      </w:r>
      <w:r>
        <w:rPr>
          <w:rFonts w:hint="eastAsia" w:eastAsia="仿宋_GB2312"/>
          <w:sz w:val="32"/>
          <w:szCs w:val="32"/>
        </w:rPr>
        <w:t>检查内容以每季度执法检查重点进行设置。</w:t>
      </w:r>
    </w:p>
    <w:p>
      <w:pPr>
        <w:spacing w:after="0"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四、重点监管执法对象</w:t>
      </w:r>
    </w:p>
    <w:p>
      <w:pPr>
        <w:spacing w:after="0" w:line="560" w:lineRule="exact"/>
        <w:ind w:firstLine="585" w:firstLineChars="18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结合全</w:t>
      </w:r>
      <w:r>
        <w:rPr>
          <w:rFonts w:hint="eastAsia" w:eastAsia="仿宋_GB2312"/>
          <w:sz w:val="32"/>
          <w:szCs w:val="32"/>
        </w:rPr>
        <w:t>县</w:t>
      </w:r>
      <w:r>
        <w:rPr>
          <w:rFonts w:eastAsia="仿宋_GB2312"/>
          <w:sz w:val="32"/>
          <w:szCs w:val="32"/>
        </w:rPr>
        <w:t>烟花爆竹</w:t>
      </w:r>
      <w:r>
        <w:rPr>
          <w:rFonts w:hint="eastAsia" w:eastAsia="仿宋_GB2312"/>
          <w:sz w:val="32"/>
          <w:szCs w:val="32"/>
        </w:rPr>
        <w:t>监管执法</w:t>
      </w:r>
      <w:r>
        <w:rPr>
          <w:rFonts w:eastAsia="仿宋_GB2312"/>
          <w:sz w:val="32"/>
          <w:szCs w:val="32"/>
        </w:rPr>
        <w:t>行动，对烟花爆竹领域“一证多</w:t>
      </w:r>
      <w:r>
        <w:rPr>
          <w:rFonts w:hint="eastAsia" w:eastAsia="仿宋_GB2312"/>
          <w:sz w:val="32"/>
          <w:szCs w:val="32"/>
        </w:rPr>
        <w:t>点</w:t>
      </w:r>
      <w:r>
        <w:rPr>
          <w:rFonts w:eastAsia="仿宋_GB2312"/>
          <w:sz w:val="32"/>
          <w:szCs w:val="32"/>
        </w:rPr>
        <w:t>”、等违法行为查处进行指导、协调和监督执法工作。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具体</w:t>
      </w:r>
      <w:r>
        <w:rPr>
          <w:rFonts w:hint="eastAsia" w:eastAsia="仿宋_GB2312"/>
          <w:sz w:val="32"/>
          <w:szCs w:val="32"/>
        </w:rPr>
        <w:t>检查</w:t>
      </w:r>
      <w:r>
        <w:rPr>
          <w:rFonts w:eastAsia="仿宋_GB2312"/>
          <w:sz w:val="32"/>
          <w:szCs w:val="32"/>
        </w:rPr>
        <w:t>对象</w:t>
      </w:r>
      <w:r>
        <w:rPr>
          <w:rFonts w:hint="eastAsia" w:eastAsia="仿宋_GB2312"/>
          <w:sz w:val="32"/>
          <w:szCs w:val="32"/>
        </w:rPr>
        <w:t>及时间</w:t>
      </w:r>
      <w:r>
        <w:rPr>
          <w:rFonts w:eastAsia="仿宋_GB2312"/>
          <w:sz w:val="32"/>
          <w:szCs w:val="32"/>
        </w:rPr>
        <w:t>：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6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widowControl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3、6、9月份</w:t>
            </w:r>
          </w:p>
        </w:tc>
        <w:tc>
          <w:tcPr>
            <w:tcW w:w="6589" w:type="dxa"/>
          </w:tcPr>
          <w:p>
            <w:pPr>
              <w:widowControl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沅陵县辰州烟花鞭炮销售有限责任公司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widowControl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4、7、10月份</w:t>
            </w:r>
          </w:p>
        </w:tc>
        <w:tc>
          <w:tcPr>
            <w:tcW w:w="6589" w:type="dxa"/>
          </w:tcPr>
          <w:p>
            <w:pPr>
              <w:widowControl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沅陵县辰东烟花鞭炮销售有限责任公司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widowControl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12月份</w:t>
            </w:r>
          </w:p>
        </w:tc>
        <w:tc>
          <w:tcPr>
            <w:tcW w:w="6589" w:type="dxa"/>
          </w:tcPr>
          <w:p>
            <w:pPr>
              <w:widowControl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综合检查</w:t>
            </w:r>
          </w:p>
        </w:tc>
      </w:tr>
    </w:tbl>
    <w:p>
      <w:pPr>
        <w:spacing w:after="0" w:line="560" w:lineRule="exact"/>
        <w:ind w:firstLine="585" w:firstLineChars="183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全县涉及烟花爆竹</w:t>
      </w:r>
      <w:r>
        <w:rPr>
          <w:rFonts w:eastAsia="仿宋_GB2312"/>
          <w:sz w:val="32"/>
          <w:szCs w:val="32"/>
        </w:rPr>
        <w:t>零售经营点（店）</w:t>
      </w:r>
      <w:r>
        <w:rPr>
          <w:rFonts w:hint="eastAsia" w:eastAsia="仿宋_GB2312"/>
          <w:sz w:val="32"/>
          <w:szCs w:val="32"/>
        </w:rPr>
        <w:t>212家，按照每月10%比例进行抽查执法。（各零售经营点（店）监督执法工作委托各乡镇具体执行。）</w:t>
      </w:r>
    </w:p>
    <w:p>
      <w:pPr>
        <w:numPr>
          <w:ilvl w:val="0"/>
          <w:numId w:val="2"/>
        </w:numPr>
        <w:spacing w:after="0"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检查方式</w:t>
      </w:r>
    </w:p>
    <w:p>
      <w:pPr>
        <w:spacing w:after="0" w:line="56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（一）加强领导、落实责任。</w:t>
      </w:r>
      <w:r>
        <w:rPr>
          <w:rFonts w:hint="eastAsia" w:ascii="仿宋" w:hAnsi="仿宋" w:eastAsia="仿宋" w:cs="仿宋"/>
          <w:sz w:val="32"/>
          <w:szCs w:val="32"/>
        </w:rPr>
        <w:t>按照《安全生产法》、</w:t>
      </w:r>
      <w:r>
        <w:fldChar w:fldCharType="begin"/>
      </w:r>
      <w:r>
        <w:instrText xml:space="preserve"> HYPERLINK "http://www.gov.cn/zhengce/2016-12/18/content_5149663.htm" \t "http://xxgk.pingxiang.gov.cn/lxx/xzbmxxgk/xaqscjdglj/fgwj/gfxwj/201802/_blank"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《中共中央国务院关于推进安全生产领域改革发展的意见》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、《烟花爆竹生产经营单位重大生产安全事故隐患判定标准》以及党的十九大关于安全生产精神和省、市相关规定，加强对安全生产工作的领导，进一步落实企业主体责任和政府监管责任，树立“三个三”意识，加强安全隐患排查治理，确保不发生安全生产事故。</w:t>
      </w:r>
    </w:p>
    <w:p>
      <w:pPr>
        <w:spacing w:after="0"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（二）科学安排、统筹兼顾。</w:t>
      </w:r>
      <w:r>
        <w:rPr>
          <w:rFonts w:hint="eastAsia" w:ascii="仿宋" w:hAnsi="仿宋" w:eastAsia="仿宋" w:cs="仿宋"/>
          <w:sz w:val="32"/>
          <w:szCs w:val="32"/>
        </w:rPr>
        <w:t>按照全年安全监管计划，科学合理安排检查监管时间，对全县烟花爆竹企业每季度至少检查一次以上，做到统筹兼顾。</w:t>
      </w:r>
    </w:p>
    <w:p>
      <w:pPr>
        <w:widowControl w:val="0"/>
        <w:adjustRightInd/>
        <w:snapToGrid/>
        <w:spacing w:after="0"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（三）强化监管、严格执法。</w:t>
      </w:r>
      <w:r>
        <w:rPr>
          <w:rFonts w:hint="eastAsia" w:ascii="仿宋" w:hAnsi="仿宋" w:eastAsia="仿宋" w:cs="仿宋"/>
          <w:sz w:val="32"/>
          <w:szCs w:val="32"/>
        </w:rPr>
        <w:t>按“一厂一策”和量化监管要求，对每个企业逐间工房进行对照检查，及时纠正违规作业行为，做到现场处置，警示本人，教育大家。按“一事一罚一记分”规定，对企业违规作业行为予以处罚。凡发现不具备安全生产条件，存在重大安全隐患，屡禁不止违规作业行为的企业，一律停产整顿。加大对存在重大安全隐患、屡禁不止、问题较多的企业的行政处罚力度。</w:t>
      </w:r>
    </w:p>
    <w:p>
      <w:pPr>
        <w:spacing w:line="560" w:lineRule="exact"/>
        <w:ind w:firstLine="1600" w:firstLineChars="500"/>
        <w:rPr>
          <w:rFonts w:ascii="仿宋" w:hAnsi="仿宋" w:eastAsia="仿宋"/>
          <w:sz w:val="32"/>
          <w:szCs w:val="32"/>
          <w:lang w:val="zh-CN"/>
        </w:rPr>
      </w:pPr>
    </w:p>
    <w:sectPr>
      <w:headerReference r:id="rId3" w:type="default"/>
      <w:footerReference r:id="rId4" w:type="default"/>
      <w:pgSz w:w="11906" w:h="16838"/>
      <w:pgMar w:top="2098" w:right="1531" w:bottom="2098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966D8"/>
    <w:multiLevelType w:val="singleLevel"/>
    <w:tmpl w:val="81A966D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B13BBC"/>
    <w:multiLevelType w:val="singleLevel"/>
    <w:tmpl w:val="BDB13B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58"/>
  <w:drawingGridVerticalSpacing w:val="29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03363F"/>
    <w:rsid w:val="00066942"/>
    <w:rsid w:val="00323B43"/>
    <w:rsid w:val="003D37D8"/>
    <w:rsid w:val="004111AF"/>
    <w:rsid w:val="00426133"/>
    <w:rsid w:val="004358AB"/>
    <w:rsid w:val="004631E5"/>
    <w:rsid w:val="0080057C"/>
    <w:rsid w:val="00810214"/>
    <w:rsid w:val="00826B37"/>
    <w:rsid w:val="008451A0"/>
    <w:rsid w:val="008B7726"/>
    <w:rsid w:val="00B024C6"/>
    <w:rsid w:val="00B03A22"/>
    <w:rsid w:val="00B73D68"/>
    <w:rsid w:val="00C032ED"/>
    <w:rsid w:val="00C47FD2"/>
    <w:rsid w:val="00CA2A99"/>
    <w:rsid w:val="00D31D50"/>
    <w:rsid w:val="00D91AFE"/>
    <w:rsid w:val="00DD3F8E"/>
    <w:rsid w:val="00E123F9"/>
    <w:rsid w:val="130157A3"/>
    <w:rsid w:val="14315B17"/>
    <w:rsid w:val="1B6E5949"/>
    <w:rsid w:val="1EEA72A9"/>
    <w:rsid w:val="2ADC757F"/>
    <w:rsid w:val="303B16BC"/>
    <w:rsid w:val="329A18CF"/>
    <w:rsid w:val="3EEB27D7"/>
    <w:rsid w:val="498D0CF4"/>
    <w:rsid w:val="4FD51DF8"/>
    <w:rsid w:val="51532A3C"/>
    <w:rsid w:val="5E553121"/>
    <w:rsid w:val="65AC0826"/>
    <w:rsid w:val="66A27F6E"/>
    <w:rsid w:val="70B51CA6"/>
    <w:rsid w:val="72085914"/>
    <w:rsid w:val="75A55D5D"/>
    <w:rsid w:val="7A540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186</Words>
  <Characters>1066</Characters>
  <Lines>8</Lines>
  <Paragraphs>2</Paragraphs>
  <TotalTime>2</TotalTime>
  <ScaleCrop>false</ScaleCrop>
  <LinksUpToDate>false</LinksUpToDate>
  <CharactersWithSpaces>1250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2020-06-09T01:32:00Z</dcterms:created>
  <dc:creator>Administrator</dc:creator>
  <cp:lastModifiedBy>I</cp:lastModifiedBy>
  <cp:lastPrinted>2020-06-02T02:08:00Z</cp:lastPrinted>
  <dcterms:modified xsi:type="dcterms:W3CDTF">2025-11-24T06:16:09Z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