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4A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附件7</w:t>
      </w:r>
    </w:p>
    <w:p w14:paraId="5C4B2E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文旅</w:t>
      </w:r>
      <w:r>
        <w:rPr>
          <w:rFonts w:hint="eastAsia" w:ascii="方正小标宋_GBK" w:hAnsi="方正小标宋_GBK" w:eastAsia="方正小标宋_GBK" w:cs="方正小标宋_GBK"/>
          <w:i w:val="0"/>
          <w:iCs w:val="0"/>
          <w:caps w:val="0"/>
          <w:color w:val="000000"/>
          <w:spacing w:val="0"/>
          <w:sz w:val="44"/>
          <w:szCs w:val="44"/>
          <w:shd w:val="clear" w:fill="FFFFFF"/>
        </w:rPr>
        <w:t>项目支出绩效自评报告</w:t>
      </w:r>
    </w:p>
    <w:p w14:paraId="1F1BAB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24"/>
          <w:szCs w:val="24"/>
        </w:rPr>
      </w:pPr>
    </w:p>
    <w:p w14:paraId="6AFF06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rPr>
        <w:t> 一、项目基本情况</w:t>
      </w:r>
    </w:p>
    <w:p w14:paraId="479EC3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2" w:firstLineChars="200"/>
        <w:jc w:val="both"/>
        <w:textAlignment w:val="auto"/>
        <w:rPr>
          <w:rFonts w:hint="eastAsia" w:ascii="仿宋" w:hAnsi="仿宋" w:eastAsia="仿宋" w:cs="仿宋"/>
          <w:b/>
          <w:bCs/>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（一）项目概况</w:t>
      </w:r>
    </w:p>
    <w:p w14:paraId="02199B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项目决策背景：依据《“十四五”文化和旅游发展规划》、《沅陵县国民经济和社会发展第十四个五年规划和二0三五年远景目标刚要》等。该专项资金是由地方政府发行的专项债劵筹集和县本级政府性基金安排的建设项目。</w:t>
      </w:r>
    </w:p>
    <w:p w14:paraId="2C8F5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2.项目主要内容：沅陵县体育中心建设项目、沅陵二酉山景区旅游基础设施工程。</w:t>
      </w:r>
    </w:p>
    <w:p w14:paraId="2BA606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3.项目组织管理机构：沅陵县文旅广体局</w:t>
      </w:r>
    </w:p>
    <w:p w14:paraId="7FD3FF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2" w:firstLineChars="200"/>
        <w:jc w:val="both"/>
        <w:textAlignment w:val="auto"/>
        <w:rPr>
          <w:rFonts w:hint="eastAsia" w:ascii="仿宋" w:hAnsi="仿宋" w:eastAsia="仿宋" w:cs="仿宋"/>
          <w:b/>
          <w:bCs/>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（二）预算资金使用管理情况</w:t>
      </w:r>
    </w:p>
    <w:p w14:paraId="657DE29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1"/>
        <w:rPr>
          <w:rFonts w:hint="eastAsia" w:ascii="仿宋" w:hAnsi="仿宋" w:eastAsia="仿宋" w:cs="仿宋"/>
          <w:i w:val="0"/>
          <w:iCs w:val="0"/>
          <w:caps w:val="0"/>
          <w:color w:val="000000"/>
          <w:spacing w:val="0"/>
          <w:kern w:val="0"/>
          <w:sz w:val="28"/>
          <w:szCs w:val="28"/>
          <w:shd w:val="clear" w:fill="FFFFFF"/>
          <w:lang w:val="en-US" w:eastAsia="zh-CN" w:bidi="ar"/>
        </w:rPr>
      </w:pPr>
      <w:bookmarkStart w:id="0" w:name="_Toc10810"/>
      <w:r>
        <w:rPr>
          <w:rFonts w:hint="eastAsia" w:ascii="仿宋" w:hAnsi="仿宋" w:eastAsia="仿宋" w:cs="仿宋"/>
          <w:i w:val="0"/>
          <w:iCs w:val="0"/>
          <w:caps w:val="0"/>
          <w:color w:val="000000"/>
          <w:spacing w:val="0"/>
          <w:kern w:val="0"/>
          <w:sz w:val="28"/>
          <w:szCs w:val="28"/>
          <w:shd w:val="clear" w:fill="FFFFFF"/>
          <w:lang w:val="en-US" w:eastAsia="zh-CN" w:bidi="ar"/>
        </w:rPr>
        <w:t>1.预算资金安排及管理情况</w:t>
      </w:r>
      <w:bookmarkEnd w:id="0"/>
    </w:p>
    <w:p w14:paraId="3E181D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（1）资金来源及拨付流程</w:t>
      </w:r>
    </w:p>
    <w:p w14:paraId="5112D6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2024年财政下达文旅项目资金 2500万元，资金来源为专项债资金，</w:t>
      </w:r>
      <w:r>
        <w:rPr>
          <w:rFonts w:hint="eastAsia" w:ascii="仿宋" w:hAnsi="仿宋" w:eastAsia="仿宋" w:cs="仿宋"/>
          <w:b w:val="0"/>
          <w:bCs w:val="0"/>
          <w:sz w:val="28"/>
          <w:szCs w:val="28"/>
        </w:rPr>
        <w:t>从申请到实施严格按照财务制度要求办理</w:t>
      </w:r>
      <w:r>
        <w:rPr>
          <w:rFonts w:hint="eastAsia" w:ascii="仿宋" w:hAnsi="仿宋" w:eastAsia="仿宋" w:cs="仿宋"/>
          <w:b w:val="0"/>
          <w:bCs w:val="0"/>
          <w:i w:val="0"/>
          <w:iCs w:val="0"/>
          <w:caps w:val="0"/>
          <w:color w:val="000000"/>
          <w:spacing w:val="0"/>
          <w:kern w:val="0"/>
          <w:sz w:val="28"/>
          <w:szCs w:val="28"/>
          <w:shd w:val="clear" w:fill="FFFFFF"/>
          <w:lang w:val="en-US" w:eastAsia="zh-CN" w:bidi="ar"/>
        </w:rPr>
        <w:t>。</w:t>
      </w:r>
    </w:p>
    <w:p w14:paraId="5F16C1C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（2）资金到位情况</w:t>
      </w:r>
    </w:p>
    <w:p w14:paraId="28EA982B">
      <w:pPr>
        <w:pStyle w:val="9"/>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财政按照专项工作的开展程度，及时保障了项目资金的申请及</w:t>
      </w:r>
      <w:r>
        <w:rPr>
          <w:rFonts w:hint="eastAsia" w:ascii="仿宋" w:hAnsi="仿宋" w:eastAsia="仿宋" w:cs="仿宋"/>
          <w:sz w:val="28"/>
          <w:szCs w:val="28"/>
          <w:lang w:eastAsia="zh-CN"/>
        </w:rPr>
        <w:t>时</w:t>
      </w:r>
      <w:r>
        <w:rPr>
          <w:rFonts w:hint="eastAsia" w:ascii="仿宋" w:hAnsi="仿宋" w:eastAsia="仿宋" w:cs="仿宋"/>
          <w:sz w:val="28"/>
          <w:szCs w:val="28"/>
        </w:rPr>
        <w:t>拨付</w:t>
      </w:r>
      <w:r>
        <w:rPr>
          <w:rFonts w:hint="eastAsia" w:ascii="仿宋" w:hAnsi="仿宋" w:eastAsia="仿宋" w:cs="仿宋"/>
          <w:sz w:val="28"/>
          <w:szCs w:val="28"/>
          <w:lang w:eastAsia="zh-CN"/>
        </w:rPr>
        <w:t>到项目资金专户</w:t>
      </w:r>
      <w:r>
        <w:rPr>
          <w:rFonts w:hint="eastAsia" w:ascii="仿宋" w:hAnsi="仿宋" w:eastAsia="仿宋" w:cs="仿宋"/>
          <w:sz w:val="28"/>
          <w:szCs w:val="28"/>
        </w:rPr>
        <w:t>，确保了专项工作的顺利进行。</w:t>
      </w:r>
    </w:p>
    <w:p w14:paraId="2166D52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（2）资金使用情况</w:t>
      </w:r>
    </w:p>
    <w:p w14:paraId="129F8A30">
      <w:pPr>
        <w:pStyle w:val="4"/>
        <w:spacing w:before="0" w:beforeAutospacing="0" w:after="150" w:afterAutospacing="0" w:line="510" w:lineRule="atLeast"/>
        <w:ind w:firstLine="480"/>
        <w:jc w:val="both"/>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color w:val="000000"/>
          <w:sz w:val="28"/>
          <w:szCs w:val="28"/>
        </w:rPr>
        <w:t>项目资金严格按照项目进度及完成情况进行资金的拨付，有完整的审批程序和手续；不存在截留、挤占、挪用、虚列支出等情况。</w:t>
      </w:r>
    </w:p>
    <w:p w14:paraId="303B98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（3）资金管理制度及执行情况</w:t>
      </w:r>
    </w:p>
    <w:p w14:paraId="6F25990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根据专项资金实际使用情况，对专项资金开展绩效自评，在资金使用上，我局严格执行专项资金管理制度，实行专款专用，无挪用专项资金问题。</w:t>
      </w:r>
    </w:p>
    <w:p w14:paraId="5669754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2.项目组织实施管理情况</w:t>
      </w:r>
    </w:p>
    <w:p w14:paraId="7CB9619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项目实施前已制定专项资金管理制定，有明确的项目资金分配方案及流程，经常性自查，并派项目管理人员进行监督。按工程进度支付项目工程款，待项目工程完工后及时组织验收，验收合格且资料齐全后支付项目活动资金。</w:t>
      </w:r>
    </w:p>
    <w:p w14:paraId="5A9E8C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2" w:firstLineChars="200"/>
        <w:jc w:val="both"/>
        <w:textAlignment w:val="auto"/>
        <w:rPr>
          <w:rFonts w:hint="eastAsia" w:ascii="仿宋" w:hAnsi="仿宋" w:eastAsia="仿宋" w:cs="仿宋"/>
          <w:b/>
          <w:bCs/>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（三）预算绩效目标情况</w:t>
      </w:r>
    </w:p>
    <w:p w14:paraId="6A01C2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1.绩效目标：文旅2个项目建设，沅陵体育中心、沅陵二酉山景区旅游基础设施建设。</w:t>
      </w:r>
    </w:p>
    <w:p w14:paraId="28097F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绩效指标:（一）成本指标：①经济成本指标，文旅项目经费2500万元，②社会成本指标：社会成本节约率0，③生态环境成本指标：生态环境成本节约率0。（二）产出指标：①数量指标：沅陵县体育中心项目、沅陵二酉山景区旅游基础设施建设。②质量指标 项目绩效目标达成率100%，③时效指标：完成及时性，2024年1月至2026年12月之前完成。（三）效益指标：①经济效益指标 提高专项资金使用效益。②社会效益指标：提高全县群众的文化素质和审美水平，增加旅游亮点，提高沅陵知名度。③生态效益指标：改善文化宣传环境。④可持续影响指标：持续提升公共文化服务质量和服务效果（四）满意度指标：服务对象满意率90以上。</w:t>
      </w:r>
    </w:p>
    <w:p w14:paraId="63B495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560" w:firstLineChars="200"/>
        <w:jc w:val="both"/>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p>
    <w:p w14:paraId="3280C780">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leftChars="0"/>
        <w:textAlignment w:val="auto"/>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二、绩效评价工作情况</w:t>
      </w:r>
    </w:p>
    <w:p w14:paraId="2D671EBB">
      <w:pPr>
        <w:keepNext w:val="0"/>
        <w:keepLines w:val="0"/>
        <w:pageBreakBefore w:val="0"/>
        <w:widowControl w:val="0"/>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（一）绩效评价目的</w:t>
      </w:r>
    </w:p>
    <w:p w14:paraId="517AED48">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了解2024年度单位整体支出情况、年度工作任务及项目完成情况，年度履职情况，以及所取得的效果。通过评价，在部门预算配置、预算执行等方面总结经验，找准存在的问题，为进一步加强和规范部门资金支出，提升预算配置的合理性；优化财政支出结构提供决策参考和依据，为下一步专项支出绩效评价的逐步推行进行经验性积累奠定基础。</w:t>
      </w:r>
    </w:p>
    <w:p w14:paraId="5FCE28E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bookmarkStart w:id="1" w:name="_Toc11844"/>
      <w:r>
        <w:rPr>
          <w:rFonts w:hint="eastAsia" w:ascii="仿宋" w:hAnsi="仿宋" w:eastAsia="仿宋" w:cs="仿宋"/>
          <w:b/>
          <w:bCs/>
          <w:i w:val="0"/>
          <w:iCs w:val="0"/>
          <w:caps w:val="0"/>
          <w:color w:val="000000"/>
          <w:spacing w:val="0"/>
          <w:kern w:val="0"/>
          <w:sz w:val="28"/>
          <w:szCs w:val="28"/>
          <w:shd w:val="clear" w:fill="FFFFFF"/>
          <w:lang w:val="en-US" w:eastAsia="zh-CN" w:bidi="ar"/>
        </w:rPr>
        <w:t>（二）被评价单位、绩效评价范围与时段</w:t>
      </w:r>
      <w:bookmarkEnd w:id="1"/>
    </w:p>
    <w:p w14:paraId="62FA91E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firstLine="280" w:firstLineChars="1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专项绩效评价单位是本单位，评价范围是对2024年文旅项目工作开展情况进行评价。</w:t>
      </w:r>
    </w:p>
    <w:p w14:paraId="1556BC8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bookmarkStart w:id="2" w:name="_Toc31835"/>
      <w:r>
        <w:rPr>
          <w:rFonts w:hint="eastAsia" w:ascii="仿宋" w:hAnsi="仿宋" w:eastAsia="仿宋" w:cs="仿宋"/>
          <w:b/>
          <w:bCs/>
          <w:i w:val="0"/>
          <w:iCs w:val="0"/>
          <w:caps w:val="0"/>
          <w:color w:val="000000"/>
          <w:spacing w:val="0"/>
          <w:kern w:val="0"/>
          <w:sz w:val="28"/>
          <w:szCs w:val="28"/>
          <w:shd w:val="clear" w:fill="FFFFFF"/>
          <w:lang w:val="en-US" w:eastAsia="zh-CN" w:bidi="ar"/>
        </w:rPr>
        <w:t>（三）绩效评价原则、评价指标体系、评价方法</w:t>
      </w:r>
      <w:bookmarkEnd w:id="2"/>
    </w:p>
    <w:p w14:paraId="719DEE8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280" w:firstLineChars="1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按照专项绩效管理有关规定，遵循客观、实事求是、公正、公开的原则，对项目决策、准备、实施等进行自我评价。</w:t>
      </w:r>
    </w:p>
    <w:p w14:paraId="08DA59EE">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 w:hAnsi="仿宋" w:eastAsia="仿宋" w:cs="仿宋"/>
          <w:i w:val="0"/>
          <w:iCs w:val="0"/>
          <w:caps w:val="0"/>
          <w:color w:val="000000"/>
          <w:spacing w:val="0"/>
          <w:kern w:val="0"/>
          <w:sz w:val="28"/>
          <w:szCs w:val="28"/>
          <w:shd w:val="clear" w:fill="FFFFFF"/>
          <w:lang w:val="en-US" w:eastAsia="zh-CN" w:bidi="ar"/>
        </w:rPr>
      </w:pPr>
      <w:bookmarkStart w:id="3" w:name="_Toc7615"/>
      <w:bookmarkStart w:id="4" w:name="_Toc32076"/>
      <w:r>
        <w:rPr>
          <w:rFonts w:hint="eastAsia" w:ascii="仿宋" w:hAnsi="仿宋" w:eastAsia="仿宋" w:cs="仿宋"/>
          <w:i w:val="0"/>
          <w:iCs w:val="0"/>
          <w:caps w:val="0"/>
          <w:color w:val="000000"/>
          <w:spacing w:val="0"/>
          <w:kern w:val="0"/>
          <w:sz w:val="28"/>
          <w:szCs w:val="28"/>
          <w:shd w:val="clear" w:fill="FFFFFF"/>
          <w:lang w:val="en-US" w:eastAsia="zh-CN" w:bidi="ar"/>
        </w:rPr>
        <w:t>三、主要绩效及评价结论</w:t>
      </w:r>
      <w:bookmarkEnd w:id="3"/>
      <w:bookmarkEnd w:id="4"/>
    </w:p>
    <w:p w14:paraId="667A4A1C">
      <w:pPr>
        <w:keepNext w:val="0"/>
        <w:keepLines w:val="0"/>
        <w:pageBreakBefore w:val="0"/>
        <w:widowControl w:val="0"/>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（一）社会效益:</w:t>
      </w:r>
      <w:r>
        <w:rPr>
          <w:rFonts w:hint="eastAsia" w:ascii="仿宋" w:hAnsi="仿宋" w:eastAsia="仿宋" w:cs="仿宋"/>
          <w:b w:val="0"/>
          <w:bCs w:val="0"/>
          <w:i w:val="0"/>
          <w:iCs w:val="0"/>
          <w:caps w:val="0"/>
          <w:color w:val="000000"/>
          <w:spacing w:val="0"/>
          <w:kern w:val="0"/>
          <w:sz w:val="28"/>
          <w:szCs w:val="28"/>
          <w:shd w:val="clear" w:fill="FFFFFF"/>
          <w:lang w:val="en-US" w:eastAsia="zh-CN" w:bidi="ar"/>
        </w:rPr>
        <w:t>推动全县社会主义精神文明建设，促进全县文化产业及旅游产业的双轮驱动，为全面建设小康社会和实现中华民族伟大复兴注入了强大的文化能量。</w:t>
      </w:r>
    </w:p>
    <w:p w14:paraId="6FD9B0D7">
      <w:pPr>
        <w:keepNext w:val="0"/>
        <w:keepLines w:val="0"/>
        <w:pageBreakBefore w:val="0"/>
        <w:widowControl w:val="0"/>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（二）生态效益:</w:t>
      </w:r>
      <w:r>
        <w:rPr>
          <w:rFonts w:hint="eastAsia" w:ascii="仿宋" w:hAnsi="仿宋" w:eastAsia="仿宋" w:cs="仿宋"/>
          <w:b w:val="0"/>
          <w:bCs w:val="0"/>
          <w:i w:val="0"/>
          <w:iCs w:val="0"/>
          <w:caps w:val="0"/>
          <w:color w:val="000000"/>
          <w:spacing w:val="0"/>
          <w:kern w:val="0"/>
          <w:sz w:val="28"/>
          <w:szCs w:val="28"/>
          <w:shd w:val="clear" w:fill="FFFFFF"/>
          <w:lang w:val="en-US" w:eastAsia="zh-CN" w:bidi="ar"/>
        </w:rPr>
        <w:t>改善文化宣传环境。</w:t>
      </w:r>
    </w:p>
    <w:p w14:paraId="7E8F03C6">
      <w:pPr>
        <w:keepNext w:val="0"/>
        <w:keepLines w:val="0"/>
        <w:pageBreakBefore w:val="0"/>
        <w:widowControl w:val="0"/>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（三）可持续影响:</w:t>
      </w:r>
      <w:r>
        <w:rPr>
          <w:rFonts w:hint="eastAsia" w:ascii="仿宋" w:hAnsi="仿宋" w:eastAsia="仿宋" w:cs="仿宋"/>
          <w:b w:val="0"/>
          <w:bCs w:val="0"/>
          <w:i w:val="0"/>
          <w:iCs w:val="0"/>
          <w:caps w:val="0"/>
          <w:color w:val="000000"/>
          <w:spacing w:val="0"/>
          <w:kern w:val="0"/>
          <w:sz w:val="28"/>
          <w:szCs w:val="28"/>
          <w:shd w:val="clear" w:fill="FFFFFF"/>
          <w:lang w:val="en-US" w:eastAsia="zh-CN" w:bidi="ar"/>
        </w:rPr>
        <w:t>增强全县的文化软实力和品牌影响力。</w:t>
      </w:r>
    </w:p>
    <w:p w14:paraId="414EE6FB">
      <w:pPr>
        <w:keepNext w:val="0"/>
        <w:keepLines w:val="0"/>
        <w:pageBreakBefore w:val="0"/>
        <w:widowControl w:val="0"/>
        <w:kinsoku/>
        <w:wordWrap/>
        <w:overflowPunct/>
        <w:topLinePunct w:val="0"/>
        <w:autoSpaceDE/>
        <w:autoSpaceDN/>
        <w:bidi w:val="0"/>
        <w:adjustRightInd/>
        <w:snapToGrid w:val="0"/>
        <w:spacing w:line="520" w:lineRule="exact"/>
        <w:ind w:left="638" w:leftChars="304" w:firstLine="0" w:firstLineChars="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（四）满意度情况:</w:t>
      </w:r>
      <w:r>
        <w:rPr>
          <w:rFonts w:hint="eastAsia" w:ascii="仿宋" w:hAnsi="仿宋" w:eastAsia="仿宋" w:cs="仿宋"/>
          <w:b w:val="0"/>
          <w:bCs w:val="0"/>
          <w:i w:val="0"/>
          <w:iCs w:val="0"/>
          <w:caps w:val="0"/>
          <w:color w:val="000000"/>
          <w:spacing w:val="0"/>
          <w:kern w:val="0"/>
          <w:sz w:val="28"/>
          <w:szCs w:val="28"/>
          <w:shd w:val="clear" w:fill="FFFFFF"/>
          <w:lang w:val="en-US" w:eastAsia="zh-CN" w:bidi="ar"/>
        </w:rPr>
        <w:t>服务对象满意率90%以上</w:t>
      </w:r>
    </w:p>
    <w:p w14:paraId="257AF00C">
      <w:pPr>
        <w:keepNext w:val="0"/>
        <w:keepLines w:val="0"/>
        <w:pageBreakBefore w:val="0"/>
        <w:widowControl w:val="0"/>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（五）评价结论</w:t>
      </w:r>
    </w:p>
    <w:p w14:paraId="1C70364C">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2024年单位专项业务工作在计划实施中，目标责任履职情况良好,专项绩效自评综合得分为100分。</w:t>
      </w:r>
      <w:bookmarkStart w:id="28" w:name="_GoBack"/>
      <w:bookmarkEnd w:id="28"/>
    </w:p>
    <w:p w14:paraId="08651BD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 w:hAnsi="仿宋" w:eastAsia="仿宋" w:cs="仿宋"/>
          <w:i w:val="0"/>
          <w:iCs w:val="0"/>
          <w:caps w:val="0"/>
          <w:color w:val="000000"/>
          <w:spacing w:val="0"/>
          <w:kern w:val="0"/>
          <w:sz w:val="28"/>
          <w:szCs w:val="28"/>
          <w:shd w:val="clear" w:fill="FFFFFF"/>
          <w:lang w:val="en-US" w:eastAsia="zh-CN" w:bidi="ar"/>
        </w:rPr>
      </w:pPr>
      <w:bookmarkStart w:id="5" w:name="_Toc16332"/>
      <w:bookmarkStart w:id="6" w:name="_Toc27541"/>
      <w:r>
        <w:rPr>
          <w:rFonts w:hint="eastAsia" w:ascii="仿宋" w:hAnsi="仿宋" w:eastAsia="仿宋" w:cs="仿宋"/>
          <w:i w:val="0"/>
          <w:iCs w:val="0"/>
          <w:caps w:val="0"/>
          <w:color w:val="000000"/>
          <w:spacing w:val="0"/>
          <w:kern w:val="0"/>
          <w:sz w:val="28"/>
          <w:szCs w:val="28"/>
          <w:shd w:val="clear" w:fill="FFFFFF"/>
          <w:lang w:val="en-US" w:eastAsia="zh-CN" w:bidi="ar"/>
        </w:rPr>
        <w:t>四、绩效评价指标分析</w:t>
      </w:r>
      <w:bookmarkEnd w:id="5"/>
      <w:bookmarkEnd w:id="6"/>
    </w:p>
    <w:p w14:paraId="3C5595F6">
      <w:pPr>
        <w:keepNext w:val="0"/>
        <w:keepLines w:val="0"/>
        <w:pageBreakBefore w:val="0"/>
        <w:widowControl w:val="0"/>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bookmarkStart w:id="7" w:name="_Toc17679"/>
      <w:r>
        <w:rPr>
          <w:rFonts w:hint="eastAsia" w:ascii="仿宋" w:hAnsi="仿宋" w:eastAsia="仿宋" w:cs="仿宋"/>
          <w:b/>
          <w:bCs/>
          <w:i w:val="0"/>
          <w:iCs w:val="0"/>
          <w:caps w:val="0"/>
          <w:color w:val="000000"/>
          <w:spacing w:val="0"/>
          <w:kern w:val="0"/>
          <w:sz w:val="28"/>
          <w:szCs w:val="28"/>
          <w:shd w:val="clear" w:fill="FFFFFF"/>
          <w:lang w:val="en-US" w:eastAsia="zh-CN" w:bidi="ar"/>
        </w:rPr>
        <w:t>(一)项目决策情况</w:t>
      </w:r>
      <w:bookmarkEnd w:id="7"/>
    </w:p>
    <w:p w14:paraId="04E45BC2">
      <w:pPr>
        <w:keepNext w:val="0"/>
        <w:keepLines w:val="0"/>
        <w:pageBreakBefore w:val="0"/>
        <w:widowControl w:val="0"/>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28"/>
          <w:szCs w:val="28"/>
          <w:shd w:val="clear" w:fill="FFFFFF"/>
          <w:lang w:val="en-US" w:eastAsia="zh-CN" w:bidi="ar"/>
        </w:rPr>
        <w:t>1、前期准备：准备自评资料并保证完整性、及时性、真实性、佐证材料的准备、材料质量等要求。</w:t>
      </w:r>
    </w:p>
    <w:p w14:paraId="0525CDA7">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2、组织实施：包括布置、审核、检查等情况存在的问题及有关意见及建议。</w:t>
      </w:r>
    </w:p>
    <w:p w14:paraId="46D5D71C">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3、分析评价：按照项目绩效管理有关规定，遵循客观、实事求是、公正、公开的原则，对项目决策、准备、实施等进行了自我评价。</w:t>
      </w:r>
    </w:p>
    <w:p w14:paraId="0878E7C1">
      <w:pPr>
        <w:keepNext w:val="0"/>
        <w:keepLines w:val="0"/>
        <w:pageBreakBefore w:val="0"/>
        <w:widowControl w:val="0"/>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bookmarkStart w:id="8" w:name="_Toc28411"/>
      <w:r>
        <w:rPr>
          <w:rFonts w:hint="eastAsia" w:ascii="仿宋" w:hAnsi="仿宋" w:eastAsia="仿宋" w:cs="仿宋"/>
          <w:b/>
          <w:bCs/>
          <w:i w:val="0"/>
          <w:iCs w:val="0"/>
          <w:caps w:val="0"/>
          <w:color w:val="000000"/>
          <w:spacing w:val="0"/>
          <w:kern w:val="0"/>
          <w:sz w:val="28"/>
          <w:szCs w:val="28"/>
          <w:shd w:val="clear" w:fill="FFFFFF"/>
          <w:lang w:val="en-US" w:eastAsia="zh-CN" w:bidi="ar"/>
        </w:rPr>
        <w:t>(二)项目过程情况</w:t>
      </w:r>
      <w:bookmarkEnd w:id="8"/>
    </w:p>
    <w:p w14:paraId="2D2D8C2D">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outlineLvl w:val="2"/>
        <w:rPr>
          <w:rFonts w:hint="eastAsia" w:ascii="仿宋" w:hAnsi="仿宋" w:eastAsia="仿宋" w:cs="仿宋"/>
          <w:i w:val="0"/>
          <w:iCs w:val="0"/>
          <w:caps w:val="0"/>
          <w:color w:val="000000"/>
          <w:spacing w:val="0"/>
          <w:kern w:val="0"/>
          <w:sz w:val="28"/>
          <w:szCs w:val="28"/>
          <w:shd w:val="clear" w:fill="FFFFFF"/>
          <w:lang w:val="en-US" w:eastAsia="zh-CN" w:bidi="ar"/>
        </w:rPr>
      </w:pPr>
      <w:bookmarkStart w:id="9" w:name="_Toc10140"/>
      <w:r>
        <w:rPr>
          <w:rFonts w:hint="eastAsia" w:ascii="仿宋" w:hAnsi="仿宋" w:eastAsia="仿宋" w:cs="仿宋"/>
          <w:i w:val="0"/>
          <w:iCs w:val="0"/>
          <w:caps w:val="0"/>
          <w:color w:val="000000"/>
          <w:spacing w:val="0"/>
          <w:kern w:val="0"/>
          <w:sz w:val="28"/>
          <w:szCs w:val="28"/>
          <w:shd w:val="clear" w:fill="FFFFFF"/>
          <w:lang w:val="en-US" w:eastAsia="zh-CN" w:bidi="ar"/>
        </w:rPr>
        <w:t>1.资金管理</w:t>
      </w:r>
      <w:bookmarkEnd w:id="9"/>
    </w:p>
    <w:p w14:paraId="6A1310B1">
      <w:pPr>
        <w:ind w:firstLine="560" w:firstLineChars="200"/>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bCs/>
          <w:sz w:val="28"/>
          <w:szCs w:val="28"/>
        </w:rPr>
        <w:t>凡拨付到我单位的专项资金，我们均做到专款专用，绝不挤占不挪用，专项资金由财政拨付到</w:t>
      </w:r>
      <w:r>
        <w:rPr>
          <w:rFonts w:hint="eastAsia" w:ascii="仿宋" w:hAnsi="仿宋" w:eastAsia="仿宋" w:cs="仿宋"/>
          <w:bCs/>
          <w:sz w:val="28"/>
          <w:szCs w:val="28"/>
          <w:lang w:eastAsia="zh-CN"/>
        </w:rPr>
        <w:t>我局</w:t>
      </w:r>
      <w:r>
        <w:rPr>
          <w:rFonts w:hint="eastAsia" w:ascii="仿宋" w:hAnsi="仿宋" w:eastAsia="仿宋" w:cs="仿宋"/>
          <w:bCs/>
          <w:sz w:val="28"/>
          <w:szCs w:val="28"/>
        </w:rPr>
        <w:t>后，均按合同约定，由单位分管财务领导签字后进行支付。该项目中我们严格按照财务有关纪律和程序要求进行资金管理，达到了预期目的。</w:t>
      </w:r>
    </w:p>
    <w:p w14:paraId="24F4F4D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560" w:firstLineChars="200"/>
        <w:textAlignment w:val="auto"/>
        <w:outlineLvl w:val="2"/>
        <w:rPr>
          <w:rFonts w:hint="eastAsia" w:ascii="仿宋" w:hAnsi="仿宋" w:eastAsia="仿宋" w:cs="仿宋"/>
          <w:i w:val="0"/>
          <w:iCs w:val="0"/>
          <w:caps w:val="0"/>
          <w:color w:val="000000"/>
          <w:spacing w:val="0"/>
          <w:kern w:val="0"/>
          <w:sz w:val="28"/>
          <w:szCs w:val="28"/>
          <w:shd w:val="clear" w:fill="FFFFFF"/>
          <w:lang w:val="en-US" w:eastAsia="zh-CN" w:bidi="ar"/>
        </w:rPr>
      </w:pPr>
      <w:bookmarkStart w:id="10" w:name="_Toc1210"/>
      <w:r>
        <w:rPr>
          <w:rFonts w:hint="eastAsia" w:ascii="仿宋" w:hAnsi="仿宋" w:eastAsia="仿宋" w:cs="仿宋"/>
          <w:i w:val="0"/>
          <w:iCs w:val="0"/>
          <w:caps w:val="0"/>
          <w:color w:val="000000"/>
          <w:spacing w:val="0"/>
          <w:kern w:val="0"/>
          <w:sz w:val="28"/>
          <w:szCs w:val="28"/>
          <w:shd w:val="clear" w:fill="FFFFFF"/>
          <w:lang w:val="en-US" w:eastAsia="zh-CN" w:bidi="ar"/>
        </w:rPr>
        <w:t>2.项目实施</w:t>
      </w:r>
      <w:bookmarkEnd w:id="10"/>
    </w:p>
    <w:p w14:paraId="3B30081D">
      <w:pPr>
        <w:spacing w:line="520" w:lineRule="exact"/>
        <w:ind w:firstLine="554" w:firstLineChars="198"/>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、项目组织情况分析</w:t>
      </w:r>
    </w:p>
    <w:p w14:paraId="2CE5574B">
      <w:pPr>
        <w:ind w:firstLine="688" w:firstLineChars="246"/>
        <w:rPr>
          <w:rFonts w:hint="eastAsia" w:ascii="仿宋" w:hAnsi="仿宋" w:eastAsia="仿宋" w:cs="仿宋"/>
          <w:bCs/>
          <w:sz w:val="28"/>
          <w:szCs w:val="28"/>
          <w:lang w:eastAsia="zh-CN"/>
        </w:rPr>
      </w:pPr>
      <w:r>
        <w:rPr>
          <w:rFonts w:hint="eastAsia" w:ascii="仿宋" w:hAnsi="仿宋" w:eastAsia="仿宋" w:cs="仿宋"/>
          <w:bCs/>
          <w:sz w:val="28"/>
          <w:szCs w:val="28"/>
        </w:rPr>
        <w:t>我们按照</w:t>
      </w:r>
      <w:r>
        <w:rPr>
          <w:rFonts w:hint="eastAsia" w:ascii="仿宋" w:hAnsi="仿宋" w:eastAsia="仿宋" w:cs="仿宋"/>
          <w:bCs/>
          <w:sz w:val="28"/>
          <w:szCs w:val="28"/>
          <w:lang w:eastAsia="zh-CN"/>
        </w:rPr>
        <w:t>政府采购</w:t>
      </w:r>
      <w:r>
        <w:rPr>
          <w:rFonts w:hint="eastAsia" w:ascii="仿宋" w:hAnsi="仿宋" w:eastAsia="仿宋" w:cs="仿宋"/>
          <w:bCs/>
          <w:sz w:val="28"/>
          <w:szCs w:val="28"/>
        </w:rPr>
        <w:t>法律规定方式，</w:t>
      </w:r>
      <w:r>
        <w:rPr>
          <w:rFonts w:hint="eastAsia" w:ascii="仿宋" w:hAnsi="仿宋" w:eastAsia="仿宋" w:cs="仿宋"/>
          <w:bCs/>
          <w:sz w:val="28"/>
          <w:szCs w:val="28"/>
          <w:lang w:eastAsia="zh-CN"/>
        </w:rPr>
        <w:t>对项目中需要进行</w:t>
      </w:r>
      <w:r>
        <w:rPr>
          <w:rFonts w:hint="eastAsia" w:ascii="仿宋" w:hAnsi="仿宋" w:eastAsia="仿宋" w:cs="仿宋"/>
          <w:bCs/>
          <w:sz w:val="28"/>
          <w:szCs w:val="28"/>
          <w:lang w:val="en-US" w:eastAsia="zh-CN"/>
        </w:rPr>
        <w:t>工程</w:t>
      </w:r>
      <w:r>
        <w:rPr>
          <w:rFonts w:hint="eastAsia" w:ascii="仿宋" w:hAnsi="仿宋" w:eastAsia="仿宋" w:cs="仿宋"/>
          <w:bCs/>
          <w:sz w:val="28"/>
          <w:szCs w:val="28"/>
          <w:lang w:eastAsia="zh-CN"/>
        </w:rPr>
        <w:t>采购的项目进行采购。</w:t>
      </w:r>
    </w:p>
    <w:p w14:paraId="41E1A0CC">
      <w:pPr>
        <w:pStyle w:val="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、项目管理情况分析</w:t>
      </w:r>
    </w:p>
    <w:p w14:paraId="31A1DB90">
      <w:pPr>
        <w:ind w:firstLine="548" w:firstLineChars="196"/>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bCs/>
          <w:sz w:val="28"/>
          <w:szCs w:val="28"/>
        </w:rPr>
        <w:t>按照专项资金项目管理制度，经常性自查，</w:t>
      </w:r>
      <w:r>
        <w:rPr>
          <w:rFonts w:hint="eastAsia" w:ascii="仿宋" w:hAnsi="仿宋" w:eastAsia="仿宋" w:cs="仿宋"/>
          <w:bCs/>
          <w:sz w:val="28"/>
          <w:szCs w:val="28"/>
          <w:lang w:eastAsia="zh-CN"/>
        </w:rPr>
        <w:t>并</w:t>
      </w:r>
      <w:r>
        <w:rPr>
          <w:rFonts w:hint="eastAsia" w:ascii="仿宋" w:hAnsi="仿宋" w:eastAsia="仿宋" w:cs="仿宋"/>
          <w:bCs/>
          <w:sz w:val="28"/>
          <w:szCs w:val="28"/>
        </w:rPr>
        <w:t>派</w:t>
      </w:r>
      <w:r>
        <w:rPr>
          <w:rFonts w:hint="eastAsia" w:ascii="仿宋" w:hAnsi="仿宋" w:eastAsia="仿宋" w:cs="仿宋"/>
          <w:bCs/>
          <w:sz w:val="28"/>
          <w:szCs w:val="28"/>
          <w:lang w:eastAsia="zh-CN"/>
        </w:rPr>
        <w:t>项目</w:t>
      </w:r>
      <w:r>
        <w:rPr>
          <w:rFonts w:hint="eastAsia" w:ascii="仿宋" w:hAnsi="仿宋" w:eastAsia="仿宋" w:cs="仿宋"/>
          <w:bCs/>
          <w:sz w:val="28"/>
          <w:szCs w:val="28"/>
        </w:rPr>
        <w:t>管理</w:t>
      </w:r>
      <w:r>
        <w:rPr>
          <w:rFonts w:hint="eastAsia" w:ascii="仿宋" w:hAnsi="仿宋" w:eastAsia="仿宋" w:cs="仿宋"/>
          <w:bCs/>
          <w:sz w:val="28"/>
          <w:szCs w:val="28"/>
          <w:lang w:eastAsia="zh-CN"/>
        </w:rPr>
        <w:t>工作</w:t>
      </w:r>
      <w:r>
        <w:rPr>
          <w:rFonts w:hint="eastAsia" w:ascii="仿宋" w:hAnsi="仿宋" w:eastAsia="仿宋" w:cs="仿宋"/>
          <w:bCs/>
          <w:sz w:val="28"/>
          <w:szCs w:val="28"/>
        </w:rPr>
        <w:t>人员进行</w:t>
      </w:r>
      <w:r>
        <w:rPr>
          <w:rFonts w:hint="eastAsia" w:ascii="仿宋" w:hAnsi="仿宋" w:eastAsia="仿宋" w:cs="仿宋"/>
          <w:bCs/>
          <w:sz w:val="28"/>
          <w:szCs w:val="28"/>
          <w:lang w:eastAsia="zh-CN"/>
        </w:rPr>
        <w:t>日常管理</w:t>
      </w:r>
      <w:r>
        <w:rPr>
          <w:rFonts w:hint="eastAsia" w:ascii="仿宋" w:hAnsi="仿宋" w:eastAsia="仿宋" w:cs="仿宋"/>
          <w:bCs/>
          <w:sz w:val="28"/>
          <w:szCs w:val="28"/>
        </w:rPr>
        <w:t>。</w:t>
      </w:r>
    </w:p>
    <w:p w14:paraId="542B0D1E">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1"/>
        <w:rPr>
          <w:rFonts w:hint="eastAsia" w:ascii="仿宋" w:hAnsi="仿宋" w:eastAsia="仿宋" w:cs="仿宋"/>
          <w:b/>
          <w:bCs/>
          <w:i w:val="0"/>
          <w:iCs w:val="0"/>
          <w:caps w:val="0"/>
          <w:color w:val="000000"/>
          <w:spacing w:val="0"/>
          <w:kern w:val="0"/>
          <w:sz w:val="28"/>
          <w:szCs w:val="28"/>
          <w:shd w:val="clear" w:fill="FFFFFF"/>
          <w:lang w:val="en-US" w:eastAsia="zh-CN" w:bidi="ar"/>
        </w:rPr>
      </w:pPr>
      <w:bookmarkStart w:id="11" w:name="_Toc6604"/>
      <w:r>
        <w:rPr>
          <w:rFonts w:hint="eastAsia" w:ascii="仿宋" w:hAnsi="仿宋" w:eastAsia="仿宋" w:cs="仿宋"/>
          <w:b/>
          <w:bCs/>
          <w:i w:val="0"/>
          <w:iCs w:val="0"/>
          <w:caps w:val="0"/>
          <w:color w:val="000000"/>
          <w:spacing w:val="0"/>
          <w:kern w:val="0"/>
          <w:sz w:val="28"/>
          <w:szCs w:val="28"/>
          <w:shd w:val="clear" w:fill="FFFFFF"/>
          <w:lang w:val="en-US" w:eastAsia="zh-CN" w:bidi="ar"/>
        </w:rPr>
        <w:t>(三)项目产出情况</w:t>
      </w:r>
      <w:bookmarkEnd w:id="11"/>
    </w:p>
    <w:p w14:paraId="15A408BC">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28"/>
          <w:szCs w:val="28"/>
          <w:shd w:val="clear" w:fill="FFFFFF"/>
          <w:lang w:val="en-US" w:eastAsia="zh-CN" w:bidi="ar"/>
        </w:rPr>
      </w:pPr>
      <w:bookmarkStart w:id="12" w:name="_Toc20742"/>
      <w:r>
        <w:rPr>
          <w:rFonts w:hint="eastAsia" w:ascii="仿宋" w:hAnsi="仿宋" w:eastAsia="仿宋" w:cs="仿宋"/>
          <w:i w:val="0"/>
          <w:iCs w:val="0"/>
          <w:caps w:val="0"/>
          <w:color w:val="000000"/>
          <w:spacing w:val="0"/>
          <w:kern w:val="0"/>
          <w:sz w:val="28"/>
          <w:szCs w:val="28"/>
          <w:shd w:val="clear" w:fill="FFFFFF"/>
          <w:lang w:val="en-US" w:eastAsia="zh-CN" w:bidi="ar"/>
        </w:rPr>
        <w:t>1.产出数量</w:t>
      </w:r>
      <w:bookmarkEnd w:id="12"/>
      <w:r>
        <w:rPr>
          <w:rFonts w:hint="eastAsia" w:ascii="仿宋" w:hAnsi="仿宋" w:eastAsia="仿宋" w:cs="仿宋"/>
          <w:i w:val="0"/>
          <w:iCs w:val="0"/>
          <w:caps w:val="0"/>
          <w:color w:val="000000"/>
          <w:spacing w:val="0"/>
          <w:kern w:val="0"/>
          <w:sz w:val="28"/>
          <w:szCs w:val="28"/>
          <w:shd w:val="clear" w:fill="FFFFFF"/>
          <w:lang w:val="en-US" w:eastAsia="zh-CN" w:bidi="ar"/>
        </w:rPr>
        <w:t>：设置项目2个。</w:t>
      </w:r>
    </w:p>
    <w:p w14:paraId="543BCAAC">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28"/>
          <w:szCs w:val="28"/>
          <w:shd w:val="clear" w:fill="FFFFFF"/>
          <w:lang w:val="en-US" w:eastAsia="zh-CN" w:bidi="ar"/>
        </w:rPr>
      </w:pPr>
      <w:bookmarkStart w:id="13" w:name="_Toc5372"/>
      <w:r>
        <w:rPr>
          <w:rFonts w:hint="eastAsia" w:ascii="仿宋" w:hAnsi="仿宋" w:eastAsia="仿宋" w:cs="仿宋"/>
          <w:i w:val="0"/>
          <w:iCs w:val="0"/>
          <w:caps w:val="0"/>
          <w:color w:val="000000"/>
          <w:spacing w:val="0"/>
          <w:kern w:val="0"/>
          <w:sz w:val="28"/>
          <w:szCs w:val="28"/>
          <w:shd w:val="clear" w:fill="FFFFFF"/>
          <w:lang w:val="en-US" w:eastAsia="zh-CN" w:bidi="ar"/>
        </w:rPr>
        <w:t>2.产出质量</w:t>
      </w:r>
      <w:bookmarkEnd w:id="13"/>
      <w:r>
        <w:rPr>
          <w:rFonts w:hint="eastAsia" w:ascii="仿宋" w:hAnsi="仿宋" w:eastAsia="仿宋" w:cs="仿宋"/>
          <w:i w:val="0"/>
          <w:iCs w:val="0"/>
          <w:caps w:val="0"/>
          <w:color w:val="000000"/>
          <w:spacing w:val="0"/>
          <w:kern w:val="0"/>
          <w:sz w:val="28"/>
          <w:szCs w:val="28"/>
          <w:shd w:val="clear" w:fill="FFFFFF"/>
          <w:lang w:val="en-US" w:eastAsia="zh-CN" w:bidi="ar"/>
        </w:rPr>
        <w:t>：</w:t>
      </w:r>
      <w:bookmarkStart w:id="14" w:name="_Toc25948"/>
      <w:r>
        <w:rPr>
          <w:rFonts w:hint="eastAsia" w:ascii="仿宋" w:hAnsi="仿宋" w:eastAsia="仿宋" w:cs="仿宋"/>
          <w:i w:val="0"/>
          <w:iCs w:val="0"/>
          <w:caps w:val="0"/>
          <w:color w:val="000000"/>
          <w:spacing w:val="0"/>
          <w:kern w:val="0"/>
          <w:sz w:val="28"/>
          <w:szCs w:val="28"/>
          <w:shd w:val="clear" w:fill="FFFFFF"/>
          <w:lang w:val="en-US" w:eastAsia="zh-CN" w:bidi="ar"/>
        </w:rPr>
        <w:t>沅陵体育中心项目正在完善设计方案，二酉山旅游景区基础设施项目正在招投标。</w:t>
      </w:r>
    </w:p>
    <w:p w14:paraId="45DF5308">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3.产出成本</w:t>
      </w:r>
      <w:bookmarkEnd w:id="14"/>
      <w:r>
        <w:rPr>
          <w:rFonts w:hint="eastAsia" w:ascii="仿宋" w:hAnsi="仿宋" w:eastAsia="仿宋" w:cs="仿宋"/>
          <w:i w:val="0"/>
          <w:iCs w:val="0"/>
          <w:caps w:val="0"/>
          <w:color w:val="000000"/>
          <w:spacing w:val="0"/>
          <w:kern w:val="0"/>
          <w:sz w:val="28"/>
          <w:szCs w:val="28"/>
          <w:shd w:val="clear" w:fill="FFFFFF"/>
          <w:lang w:val="en-US" w:eastAsia="zh-CN" w:bidi="ar"/>
        </w:rPr>
        <w:t>：项目支出成本控制在预算内</w:t>
      </w:r>
    </w:p>
    <w:p w14:paraId="6559B3B8">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 w:hAnsi="仿宋" w:eastAsia="仿宋" w:cs="仿宋"/>
          <w:i w:val="0"/>
          <w:iCs w:val="0"/>
          <w:caps w:val="0"/>
          <w:color w:val="000000"/>
          <w:spacing w:val="0"/>
          <w:kern w:val="0"/>
          <w:sz w:val="28"/>
          <w:szCs w:val="28"/>
          <w:shd w:val="clear" w:fill="FFFFFF"/>
          <w:lang w:val="en-US" w:eastAsia="zh-CN" w:bidi="ar"/>
        </w:rPr>
      </w:pPr>
      <w:bookmarkStart w:id="15" w:name="_Toc21477"/>
      <w:r>
        <w:rPr>
          <w:rFonts w:hint="eastAsia" w:ascii="仿宋" w:hAnsi="仿宋" w:eastAsia="仿宋" w:cs="仿宋"/>
          <w:i w:val="0"/>
          <w:iCs w:val="0"/>
          <w:caps w:val="0"/>
          <w:color w:val="000000"/>
          <w:spacing w:val="0"/>
          <w:kern w:val="0"/>
          <w:sz w:val="28"/>
          <w:szCs w:val="28"/>
          <w:shd w:val="clear" w:fill="FFFFFF"/>
          <w:lang w:val="en-US" w:eastAsia="zh-CN" w:bidi="ar"/>
        </w:rPr>
        <w:t>4.产出时效</w:t>
      </w:r>
      <w:bookmarkEnd w:id="15"/>
      <w:r>
        <w:rPr>
          <w:rFonts w:hint="eastAsia" w:ascii="仿宋" w:hAnsi="仿宋" w:eastAsia="仿宋" w:cs="仿宋"/>
          <w:i w:val="0"/>
          <w:iCs w:val="0"/>
          <w:caps w:val="0"/>
          <w:color w:val="000000"/>
          <w:spacing w:val="0"/>
          <w:kern w:val="0"/>
          <w:sz w:val="28"/>
          <w:szCs w:val="28"/>
          <w:shd w:val="clear" w:fill="FFFFFF"/>
          <w:lang w:val="en-US" w:eastAsia="zh-CN" w:bidi="ar"/>
        </w:rPr>
        <w:t>：2024年1月---2026年12月</w:t>
      </w:r>
    </w:p>
    <w:p w14:paraId="4F6198D7">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1"/>
        <w:rPr>
          <w:rFonts w:hint="eastAsia" w:ascii="仿宋" w:hAnsi="仿宋" w:eastAsia="仿宋" w:cs="仿宋"/>
          <w:b/>
          <w:bCs/>
          <w:i w:val="0"/>
          <w:iCs w:val="0"/>
          <w:caps w:val="0"/>
          <w:color w:val="000000"/>
          <w:spacing w:val="0"/>
          <w:kern w:val="0"/>
          <w:sz w:val="28"/>
          <w:szCs w:val="28"/>
          <w:shd w:val="clear" w:fill="FFFFFF"/>
          <w:lang w:val="en-US" w:eastAsia="zh-CN" w:bidi="ar"/>
        </w:rPr>
      </w:pPr>
      <w:bookmarkStart w:id="16" w:name="_Toc3072"/>
      <w:bookmarkStart w:id="17" w:name="_Toc12690"/>
      <w:r>
        <w:rPr>
          <w:rFonts w:hint="eastAsia" w:ascii="仿宋" w:hAnsi="仿宋" w:eastAsia="仿宋" w:cs="仿宋"/>
          <w:b/>
          <w:bCs/>
          <w:i w:val="0"/>
          <w:iCs w:val="0"/>
          <w:caps w:val="0"/>
          <w:color w:val="000000"/>
          <w:spacing w:val="0"/>
          <w:kern w:val="0"/>
          <w:sz w:val="28"/>
          <w:szCs w:val="28"/>
          <w:shd w:val="clear" w:fill="FFFFFF"/>
          <w:lang w:val="en-US" w:eastAsia="zh-CN" w:bidi="ar"/>
        </w:rPr>
        <w:t>(四)项目效益情况</w:t>
      </w:r>
      <w:bookmarkEnd w:id="16"/>
      <w:bookmarkEnd w:id="17"/>
    </w:p>
    <w:p w14:paraId="2EA853A7">
      <w:pPr>
        <w:pStyle w:val="8"/>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1、项目经济性分析</w:t>
      </w:r>
    </w:p>
    <w:p w14:paraId="3C0D1C7D">
      <w:pPr>
        <w:pStyle w:val="8"/>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（1）项目成本（预算）控制情况</w:t>
      </w:r>
      <w:r>
        <w:rPr>
          <w:rFonts w:hint="eastAsia" w:ascii="仿宋" w:hAnsi="仿宋" w:eastAsia="仿宋" w:cs="仿宋"/>
          <w:sz w:val="28"/>
          <w:szCs w:val="28"/>
          <w:lang w:eastAsia="zh-CN"/>
        </w:rPr>
        <w:t>：</w:t>
      </w:r>
      <w:r>
        <w:rPr>
          <w:rFonts w:hint="eastAsia" w:ascii="仿宋" w:hAnsi="仿宋" w:eastAsia="仿宋" w:cs="仿宋"/>
          <w:sz w:val="28"/>
          <w:szCs w:val="28"/>
        </w:rPr>
        <w:t>项目成本（预算）</w:t>
      </w:r>
      <w:r>
        <w:rPr>
          <w:rFonts w:hint="eastAsia" w:ascii="仿宋" w:hAnsi="仿宋" w:eastAsia="仿宋" w:cs="仿宋"/>
          <w:sz w:val="28"/>
          <w:szCs w:val="28"/>
          <w:lang w:val="en-US" w:eastAsia="zh-CN"/>
        </w:rPr>
        <w:t>控制在财评控制范围内。</w:t>
      </w:r>
    </w:p>
    <w:p w14:paraId="10F1FD86">
      <w:pPr>
        <w:pStyle w:val="8"/>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（2）项目成本（预算）节约情况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按照合同金额支付工程款。</w:t>
      </w:r>
    </w:p>
    <w:p w14:paraId="1FB35210">
      <w:pPr>
        <w:pStyle w:val="8"/>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2、项目的效率性分析</w:t>
      </w:r>
    </w:p>
    <w:p w14:paraId="3662015A">
      <w:pPr>
        <w:pStyle w:val="8"/>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（1）项目的实施进度</w:t>
      </w:r>
      <w:r>
        <w:rPr>
          <w:rFonts w:hint="eastAsia" w:ascii="仿宋" w:hAnsi="仿宋" w:eastAsia="仿宋" w:cs="仿宋"/>
          <w:sz w:val="28"/>
          <w:szCs w:val="28"/>
          <w:lang w:val="en-US" w:eastAsia="zh-CN"/>
        </w:rPr>
        <w:t>:沅陵县体育中心项目正在选址征拆用地报批和完善设计方案，沅陵二酉山旅游景区基础设施建设正在招投标。</w:t>
      </w:r>
    </w:p>
    <w:p w14:paraId="1813D7FC">
      <w:pPr>
        <w:pStyle w:val="8"/>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（2）项目完成质量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该项目未开工。</w:t>
      </w:r>
    </w:p>
    <w:p w14:paraId="7C07EF6B">
      <w:pPr>
        <w:pStyle w:val="8"/>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3、项目的效益性分析</w:t>
      </w:r>
    </w:p>
    <w:p w14:paraId="2AA58A81">
      <w:pPr>
        <w:pStyle w:val="8"/>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（1）项目预期目标完成程度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该项目正在筹备完善方案及招投标中。</w:t>
      </w:r>
    </w:p>
    <w:p w14:paraId="508B3A16">
      <w:pPr>
        <w:pStyle w:val="4"/>
        <w:widowControl/>
        <w:shd w:val="clear" w:color="auto" w:fill="FFFFFF"/>
        <w:spacing w:beforeAutospacing="0" w:afterAutospacing="0" w:line="560" w:lineRule="exact"/>
        <w:ind w:firstLine="560" w:firstLineChars="200"/>
        <w:jc w:val="both"/>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sz w:val="28"/>
          <w:szCs w:val="28"/>
        </w:rPr>
        <w:t>（2）项目实施对经济和社会的影响</w:t>
      </w:r>
      <w:r>
        <w:rPr>
          <w:rFonts w:hint="eastAsia" w:ascii="仿宋" w:hAnsi="仿宋" w:eastAsia="仿宋" w:cs="仿宋"/>
          <w:sz w:val="28"/>
          <w:szCs w:val="28"/>
          <w:lang w:eastAsia="zh-CN"/>
        </w:rPr>
        <w:t>：项目建设提高全县生活水平，改善全县生活质量，有利于对外开放和招商引资，是经济发展的需要，增加就业和提高收入，提高居民的生活水平，改善沅陵县投资环境，促进沅陵经济发展</w:t>
      </w:r>
      <w:r>
        <w:rPr>
          <w:rFonts w:hint="eastAsia" w:ascii="仿宋" w:hAnsi="仿宋" w:eastAsia="仿宋" w:cs="仿宋"/>
          <w:sz w:val="28"/>
          <w:szCs w:val="28"/>
          <w:shd w:val="clear" w:color="auto" w:fill="FFFFFF"/>
          <w:lang w:eastAsia="zh-CN"/>
        </w:rPr>
        <w:t>。</w:t>
      </w:r>
    </w:p>
    <w:p w14:paraId="24D6274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 w:hAnsi="仿宋" w:eastAsia="仿宋" w:cs="仿宋"/>
          <w:i w:val="0"/>
          <w:iCs w:val="0"/>
          <w:caps w:val="0"/>
          <w:color w:val="000000"/>
          <w:spacing w:val="0"/>
          <w:kern w:val="0"/>
          <w:sz w:val="28"/>
          <w:szCs w:val="28"/>
          <w:shd w:val="clear" w:fill="FFFFFF"/>
          <w:lang w:val="en-US" w:eastAsia="zh-CN" w:bidi="ar"/>
        </w:rPr>
      </w:pPr>
      <w:bookmarkStart w:id="18" w:name="_Toc390096931"/>
      <w:bookmarkStart w:id="19" w:name="_Toc390267055"/>
      <w:bookmarkStart w:id="20" w:name="_Toc12414"/>
      <w:bookmarkStart w:id="21" w:name="_Toc24241"/>
      <w:r>
        <w:rPr>
          <w:rFonts w:hint="eastAsia" w:ascii="仿宋" w:hAnsi="仿宋" w:eastAsia="仿宋" w:cs="仿宋"/>
          <w:i w:val="0"/>
          <w:iCs w:val="0"/>
          <w:caps w:val="0"/>
          <w:color w:val="000000"/>
          <w:spacing w:val="0"/>
          <w:kern w:val="0"/>
          <w:sz w:val="28"/>
          <w:szCs w:val="28"/>
          <w:shd w:val="clear" w:fill="FFFFFF"/>
          <w:lang w:val="en-US" w:eastAsia="zh-CN" w:bidi="ar"/>
        </w:rPr>
        <w:t>五、项目主要经验、存在的问题</w:t>
      </w:r>
      <w:bookmarkEnd w:id="18"/>
      <w:bookmarkEnd w:id="19"/>
      <w:r>
        <w:rPr>
          <w:rFonts w:hint="eastAsia" w:ascii="仿宋" w:hAnsi="仿宋" w:eastAsia="仿宋" w:cs="仿宋"/>
          <w:i w:val="0"/>
          <w:iCs w:val="0"/>
          <w:caps w:val="0"/>
          <w:color w:val="000000"/>
          <w:spacing w:val="0"/>
          <w:kern w:val="0"/>
          <w:sz w:val="28"/>
          <w:szCs w:val="28"/>
          <w:shd w:val="clear" w:fill="FFFFFF"/>
          <w:lang w:val="en-US" w:eastAsia="zh-CN" w:bidi="ar"/>
        </w:rPr>
        <w:t>及建议</w:t>
      </w:r>
      <w:bookmarkEnd w:id="20"/>
      <w:bookmarkEnd w:id="21"/>
    </w:p>
    <w:p w14:paraId="572AEDC1">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outlineLvl w:val="1"/>
        <w:rPr>
          <w:rFonts w:hint="eastAsia" w:ascii="仿宋" w:hAnsi="仿宋" w:eastAsia="仿宋" w:cs="仿宋"/>
          <w:b/>
          <w:bCs/>
          <w:i w:val="0"/>
          <w:iCs w:val="0"/>
          <w:caps w:val="0"/>
          <w:color w:val="000000"/>
          <w:spacing w:val="0"/>
          <w:kern w:val="0"/>
          <w:sz w:val="28"/>
          <w:szCs w:val="28"/>
          <w:shd w:val="clear" w:fill="FFFFFF"/>
          <w:lang w:val="en-US" w:eastAsia="zh-CN" w:bidi="ar"/>
        </w:rPr>
      </w:pPr>
      <w:bookmarkStart w:id="22" w:name="_Toc23434"/>
      <w:bookmarkStart w:id="23" w:name="_Toc5316"/>
      <w:r>
        <w:rPr>
          <w:rFonts w:hint="eastAsia" w:ascii="仿宋" w:hAnsi="仿宋" w:eastAsia="仿宋" w:cs="仿宋"/>
          <w:b/>
          <w:bCs/>
          <w:i w:val="0"/>
          <w:iCs w:val="0"/>
          <w:caps w:val="0"/>
          <w:color w:val="000000"/>
          <w:spacing w:val="0"/>
          <w:kern w:val="0"/>
          <w:sz w:val="28"/>
          <w:szCs w:val="28"/>
          <w:shd w:val="clear" w:fill="FFFFFF"/>
          <w:lang w:val="en-US" w:eastAsia="zh-CN" w:bidi="ar"/>
        </w:rPr>
        <w:t>（一）项目主要经验</w:t>
      </w:r>
      <w:bookmarkEnd w:id="22"/>
      <w:r>
        <w:rPr>
          <w:rFonts w:hint="eastAsia" w:ascii="仿宋" w:hAnsi="仿宋" w:eastAsia="仿宋" w:cs="仿宋"/>
          <w:b/>
          <w:bCs/>
          <w:i w:val="0"/>
          <w:iCs w:val="0"/>
          <w:caps w:val="0"/>
          <w:color w:val="000000"/>
          <w:spacing w:val="0"/>
          <w:kern w:val="0"/>
          <w:sz w:val="28"/>
          <w:szCs w:val="28"/>
          <w:shd w:val="clear" w:fill="FFFFFF"/>
          <w:lang w:val="en-US" w:eastAsia="zh-CN" w:bidi="ar"/>
        </w:rPr>
        <w:t>及做法</w:t>
      </w:r>
      <w:bookmarkEnd w:id="23"/>
    </w:p>
    <w:p w14:paraId="068D789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shd w:val="clear" w:fill="FFFFFF"/>
          <w:lang w:val="en-US" w:eastAsia="zh-CN" w:bidi="ar"/>
        </w:rPr>
      </w:pPr>
      <w:r>
        <w:rPr>
          <w:rFonts w:hint="eastAsia" w:ascii="仿宋" w:hAnsi="仿宋" w:eastAsia="仿宋" w:cs="仿宋"/>
          <w:b w:val="0"/>
          <w:bCs w:val="0"/>
          <w:i w:val="0"/>
          <w:iCs w:val="0"/>
          <w:caps w:val="0"/>
          <w:color w:val="000000"/>
          <w:spacing w:val="0"/>
          <w:kern w:val="0"/>
          <w:sz w:val="28"/>
          <w:szCs w:val="28"/>
          <w:shd w:val="clear" w:fill="FFFFFF"/>
          <w:lang w:val="en-US" w:eastAsia="zh-CN" w:bidi="ar"/>
        </w:rPr>
        <w:t>2024年，我局以绩效目标实现为导向，进一步加强制度建设，提升自评质量，预算绩效管理取得新成效。一是绩效目标编制，及时报送绩效目标。二是对专项活动开展情况绩效过程进行跟踪监控。三是健全绩效管理工作机制，明确分工，努力提高绩效管理工作水平。</w:t>
      </w:r>
      <w:bookmarkStart w:id="24" w:name="_Toc2597"/>
      <w:bookmarkStart w:id="25" w:name="_Toc6772"/>
    </w:p>
    <w:p w14:paraId="2DDA1220">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i w:val="0"/>
          <w:iCs w:val="0"/>
          <w:caps w:val="0"/>
          <w:color w:val="000000"/>
          <w:spacing w:val="0"/>
          <w:kern w:val="0"/>
          <w:sz w:val="28"/>
          <w:szCs w:val="28"/>
          <w:shd w:val="clear" w:fill="FFFFFF"/>
          <w:lang w:val="en-US" w:eastAsia="zh-CN" w:bidi="ar"/>
        </w:rPr>
      </w:pPr>
      <w:r>
        <w:rPr>
          <w:rFonts w:hint="eastAsia" w:ascii="仿宋" w:hAnsi="仿宋" w:eastAsia="仿宋" w:cs="仿宋"/>
          <w:b/>
          <w:bCs/>
          <w:i w:val="0"/>
          <w:iCs w:val="0"/>
          <w:caps w:val="0"/>
          <w:color w:val="000000"/>
          <w:spacing w:val="0"/>
          <w:kern w:val="0"/>
          <w:sz w:val="28"/>
          <w:szCs w:val="28"/>
          <w:shd w:val="clear" w:fill="FFFFFF"/>
          <w:lang w:val="en-US" w:eastAsia="zh-CN" w:bidi="ar"/>
        </w:rPr>
        <w:t>存在的问题</w:t>
      </w:r>
      <w:bookmarkEnd w:id="24"/>
      <w:bookmarkEnd w:id="25"/>
      <w:r>
        <w:rPr>
          <w:rFonts w:hint="eastAsia" w:ascii="仿宋" w:hAnsi="仿宋" w:eastAsia="仿宋" w:cs="仿宋"/>
          <w:b/>
          <w:bCs/>
          <w:i w:val="0"/>
          <w:iCs w:val="0"/>
          <w:caps w:val="0"/>
          <w:color w:val="000000"/>
          <w:spacing w:val="0"/>
          <w:kern w:val="0"/>
          <w:sz w:val="28"/>
          <w:szCs w:val="28"/>
          <w:shd w:val="clear" w:fill="FFFFFF"/>
          <w:lang w:val="en-US" w:eastAsia="zh-CN" w:bidi="ar"/>
        </w:rPr>
        <w:t xml:space="preserve">  无</w:t>
      </w:r>
      <w:bookmarkStart w:id="26" w:name="_Toc16271"/>
      <w:bookmarkStart w:id="27" w:name="_Toc29278"/>
    </w:p>
    <w:p w14:paraId="15F6133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i w:val="0"/>
          <w:iCs w:val="0"/>
          <w:caps w:val="0"/>
          <w:color w:val="000000"/>
          <w:spacing w:val="0"/>
          <w:sz w:val="28"/>
          <w:szCs w:val="28"/>
          <w:lang w:val="en-US"/>
        </w:rPr>
      </w:pPr>
      <w:r>
        <w:rPr>
          <w:rFonts w:hint="eastAsia" w:ascii="仿宋" w:hAnsi="仿宋" w:eastAsia="仿宋" w:cs="仿宋"/>
          <w:b/>
          <w:bCs/>
          <w:i w:val="0"/>
          <w:iCs w:val="0"/>
          <w:caps w:val="0"/>
          <w:color w:val="000000"/>
          <w:spacing w:val="0"/>
          <w:kern w:val="0"/>
          <w:sz w:val="28"/>
          <w:szCs w:val="28"/>
          <w:shd w:val="clear" w:fill="FFFFFF"/>
          <w:lang w:val="en-US" w:eastAsia="zh-CN" w:bidi="ar"/>
        </w:rPr>
        <w:t>（三）有关建议</w:t>
      </w:r>
      <w:bookmarkEnd w:id="26"/>
      <w:bookmarkEnd w:id="27"/>
      <w:r>
        <w:rPr>
          <w:rFonts w:hint="eastAsia" w:ascii="仿宋" w:hAnsi="仿宋" w:eastAsia="仿宋" w:cs="仿宋"/>
          <w:b/>
          <w:bCs/>
          <w:i w:val="0"/>
          <w:iCs w:val="0"/>
          <w:caps w:val="0"/>
          <w:color w:val="000000"/>
          <w:spacing w:val="0"/>
          <w:kern w:val="0"/>
          <w:sz w:val="28"/>
          <w:szCs w:val="28"/>
          <w:shd w:val="clear" w:fill="FFFFFF"/>
          <w:lang w:val="en-US" w:eastAsia="zh-CN" w:bidi="ar"/>
        </w:rPr>
        <w:t xml:space="preserve">   无</w:t>
      </w:r>
    </w:p>
    <w:p w14:paraId="639BD6E9">
      <w:pPr>
        <w:rPr>
          <w:rFonts w:hint="eastAsia" w:ascii="仿宋" w:hAnsi="仿宋" w:eastAsia="仿宋" w:cs="仿宋"/>
          <w:sz w:val="28"/>
          <w:szCs w:val="28"/>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DBC74ED-2D7A-4F82-8533-952676A8AFE7}"/>
  </w:font>
  <w:font w:name="方正小标宋_GBK">
    <w:altName w:val="微软雅黑"/>
    <w:panose1 w:val="03000509000000000000"/>
    <w:charset w:val="86"/>
    <w:family w:val="auto"/>
    <w:pitch w:val="default"/>
    <w:sig w:usb0="00000000" w:usb1="00000000" w:usb2="00000000" w:usb3="00000000" w:csb0="00040000" w:csb1="00000000"/>
    <w:embedRegular r:id="rId2" w:fontKey="{317C29A7-E1AF-4349-AC3E-BEA30306A5B8}"/>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2C78959A-C4E8-418C-B8B0-94F7AA0C84EC}"/>
  </w:font>
  <w:font w:name="方正仿宋_GB2312">
    <w:panose1 w:val="02000000000000000000"/>
    <w:charset w:val="86"/>
    <w:family w:val="auto"/>
    <w:pitch w:val="default"/>
    <w:sig w:usb0="A00002BF" w:usb1="184F6CFA" w:usb2="00000012" w:usb3="00000000" w:csb0="00040001" w:csb1="00000000"/>
    <w:embedRegular r:id="rId4" w:fontKey="{204D2EE4-A9B6-423F-BF23-EE801AAA75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2F209"/>
    <w:multiLevelType w:val="singleLevel"/>
    <w:tmpl w:val="5FA2F2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B62F5"/>
    <w:rsid w:val="01176EA7"/>
    <w:rsid w:val="02810A7C"/>
    <w:rsid w:val="03FB660C"/>
    <w:rsid w:val="040D00EE"/>
    <w:rsid w:val="04926F71"/>
    <w:rsid w:val="04D550AF"/>
    <w:rsid w:val="055C757F"/>
    <w:rsid w:val="05B253F0"/>
    <w:rsid w:val="06897EFF"/>
    <w:rsid w:val="06BC7F0C"/>
    <w:rsid w:val="06F23CF7"/>
    <w:rsid w:val="078B5EF9"/>
    <w:rsid w:val="07E04497"/>
    <w:rsid w:val="099E3CC2"/>
    <w:rsid w:val="0AC166C0"/>
    <w:rsid w:val="0B36617C"/>
    <w:rsid w:val="0B6E5916"/>
    <w:rsid w:val="0BD55995"/>
    <w:rsid w:val="0CB332F9"/>
    <w:rsid w:val="0DD95C10"/>
    <w:rsid w:val="0E236DF6"/>
    <w:rsid w:val="10967DE9"/>
    <w:rsid w:val="10FF4362"/>
    <w:rsid w:val="1122342A"/>
    <w:rsid w:val="1142587A"/>
    <w:rsid w:val="11B85B3D"/>
    <w:rsid w:val="125F245C"/>
    <w:rsid w:val="139879D4"/>
    <w:rsid w:val="1642631D"/>
    <w:rsid w:val="19461C80"/>
    <w:rsid w:val="1AA9696A"/>
    <w:rsid w:val="1BD417C5"/>
    <w:rsid w:val="1C05557C"/>
    <w:rsid w:val="1DDC7057"/>
    <w:rsid w:val="1FB43DE7"/>
    <w:rsid w:val="22FE5379"/>
    <w:rsid w:val="2398757C"/>
    <w:rsid w:val="24443260"/>
    <w:rsid w:val="24A00DDE"/>
    <w:rsid w:val="252E0198"/>
    <w:rsid w:val="254B6B58"/>
    <w:rsid w:val="25665261"/>
    <w:rsid w:val="259F191F"/>
    <w:rsid w:val="272F1FA5"/>
    <w:rsid w:val="274F0899"/>
    <w:rsid w:val="295E3090"/>
    <w:rsid w:val="29B9024C"/>
    <w:rsid w:val="2A571F3F"/>
    <w:rsid w:val="2AAA4765"/>
    <w:rsid w:val="2AED63FF"/>
    <w:rsid w:val="2BEF7F55"/>
    <w:rsid w:val="2C2E0A7D"/>
    <w:rsid w:val="2C7A3CC3"/>
    <w:rsid w:val="2E0917A2"/>
    <w:rsid w:val="2E76495E"/>
    <w:rsid w:val="2EBC6814"/>
    <w:rsid w:val="2F0F2DE8"/>
    <w:rsid w:val="2F4131BE"/>
    <w:rsid w:val="2F93612B"/>
    <w:rsid w:val="31D245A1"/>
    <w:rsid w:val="33730F78"/>
    <w:rsid w:val="34C46423"/>
    <w:rsid w:val="368C11C2"/>
    <w:rsid w:val="37661A13"/>
    <w:rsid w:val="377D6D5D"/>
    <w:rsid w:val="37A4253C"/>
    <w:rsid w:val="396106E4"/>
    <w:rsid w:val="3A8D72B7"/>
    <w:rsid w:val="3C1852A6"/>
    <w:rsid w:val="3E4660FB"/>
    <w:rsid w:val="3EA51073"/>
    <w:rsid w:val="3EAF3CA0"/>
    <w:rsid w:val="403E177F"/>
    <w:rsid w:val="41F320F5"/>
    <w:rsid w:val="425012F6"/>
    <w:rsid w:val="4387343D"/>
    <w:rsid w:val="43BD6E5F"/>
    <w:rsid w:val="44CE29A6"/>
    <w:rsid w:val="45D67D64"/>
    <w:rsid w:val="46D85D5E"/>
    <w:rsid w:val="484E4529"/>
    <w:rsid w:val="499E328F"/>
    <w:rsid w:val="49E113CD"/>
    <w:rsid w:val="4AA03036"/>
    <w:rsid w:val="4B0E7FA0"/>
    <w:rsid w:val="4B410375"/>
    <w:rsid w:val="4C5916EF"/>
    <w:rsid w:val="4D16313C"/>
    <w:rsid w:val="4EFF1D6D"/>
    <w:rsid w:val="51491D32"/>
    <w:rsid w:val="51656440"/>
    <w:rsid w:val="51CB0999"/>
    <w:rsid w:val="528154FB"/>
    <w:rsid w:val="52A116FA"/>
    <w:rsid w:val="52CC2C1B"/>
    <w:rsid w:val="53582700"/>
    <w:rsid w:val="54370568"/>
    <w:rsid w:val="5488491F"/>
    <w:rsid w:val="54A11E85"/>
    <w:rsid w:val="56A45C5C"/>
    <w:rsid w:val="57CA524F"/>
    <w:rsid w:val="582F1556"/>
    <w:rsid w:val="591C5F7E"/>
    <w:rsid w:val="59A0095D"/>
    <w:rsid w:val="5A07278A"/>
    <w:rsid w:val="5AD00DCE"/>
    <w:rsid w:val="5B445318"/>
    <w:rsid w:val="5D2214F2"/>
    <w:rsid w:val="5D995DEF"/>
    <w:rsid w:val="5E631F59"/>
    <w:rsid w:val="5EF77271"/>
    <w:rsid w:val="60AC7BE7"/>
    <w:rsid w:val="60D158A0"/>
    <w:rsid w:val="63C65464"/>
    <w:rsid w:val="63CB2A7A"/>
    <w:rsid w:val="64EF2799"/>
    <w:rsid w:val="65905D2A"/>
    <w:rsid w:val="665C20B0"/>
    <w:rsid w:val="6B596BBE"/>
    <w:rsid w:val="6D1C7EA3"/>
    <w:rsid w:val="6E184B0E"/>
    <w:rsid w:val="6F543924"/>
    <w:rsid w:val="6F5B1156"/>
    <w:rsid w:val="73263829"/>
    <w:rsid w:val="73683E42"/>
    <w:rsid w:val="738642C8"/>
    <w:rsid w:val="745B7503"/>
    <w:rsid w:val="76A100CB"/>
    <w:rsid w:val="775766A7"/>
    <w:rsid w:val="777A4144"/>
    <w:rsid w:val="78646155"/>
    <w:rsid w:val="79CB0C87"/>
    <w:rsid w:val="7A2E1215"/>
    <w:rsid w:val="7A4822D7"/>
    <w:rsid w:val="7A4A24F3"/>
    <w:rsid w:val="7A4B626B"/>
    <w:rsid w:val="7AFD57B8"/>
    <w:rsid w:val="7B407452"/>
    <w:rsid w:val="7D9C34E9"/>
    <w:rsid w:val="7DA77C5D"/>
    <w:rsid w:val="7DE95B7F"/>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beforeLines="0" w:afterLines="0"/>
      <w:ind w:firstLine="640" w:firstLineChars="200"/>
    </w:pPr>
    <w:rPr>
      <w:rFonts w:hint="default"/>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unhideWhenUsed/>
    <w:qFormat/>
    <w:uiPriority w:val="99"/>
    <w:pPr>
      <w:spacing w:beforeLines="0" w:afterLines="0"/>
      <w:ind w:firstLine="420"/>
    </w:pPr>
    <w:rPr>
      <w:rFonts w:hint="default"/>
      <w:sz w:val="32"/>
    </w:rPr>
  </w:style>
  <w:style w:type="paragraph" w:customStyle="1" w:styleId="8">
    <w:name w:val="无间隔"/>
    <w:qFormat/>
    <w:uiPriority w:val="0"/>
    <w:pPr>
      <w:widowControl w:val="0"/>
      <w:jc w:val="both"/>
    </w:pPr>
    <w:rPr>
      <w:rFonts w:ascii="Calibri" w:hAnsi="Calibri" w:eastAsia="宋体" w:cs="Times New Roman"/>
      <w:kern w:val="2"/>
      <w:sz w:val="21"/>
      <w:szCs w:val="22"/>
      <w:lang w:val="en-US" w:eastAsia="zh-CN" w:bidi="ar-SA"/>
    </w:rPr>
  </w:style>
  <w:style w:type="paragraph" w:styleId="9">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2054</Words>
  <Characters>2100</Characters>
  <Lines>0</Lines>
  <Paragraphs>0</Paragraphs>
  <TotalTime>2</TotalTime>
  <ScaleCrop>false</ScaleCrop>
  <LinksUpToDate>false</LinksUpToDate>
  <CharactersWithSpaces>2108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2025-02-17T08:53:00Z</dcterms:created>
  <dc:creator>Administrator</dc:creator>
  <cp:lastModifiedBy>WPS_1539153943</cp:lastModifiedBy>
  <cp:lastPrinted>2025-05-23T08:42:00Z</cp:lastPrinted>
  <dcterms:modified xsi:type="dcterms:W3CDTF">2025-07-20T07:59:09Z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eyJoZGlkIjoiMmVhYWExY2VlMDNlZTVlNWZjYjg1MDdiNGM0YmUxZmQiLCJ1c2VySWQiOiI0MTUwNDU5NzEifQ==</vt:lpwstr>
  </property>
  <property fmtid="{D5CDD505-2E9C-101B-9397-08002B2CF9AE}" pid="4" name="ICV">
    <vt:lpwstr>727097A6A05647B9A2AC6A0A56E6A72C_12</vt:lpwstr>
  </property>
</Properties>
</file>