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4A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附件7</w:t>
      </w:r>
    </w:p>
    <w:p w14:paraId="5C4B2E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体彩公益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项目支出绩效自评报告</w:t>
      </w:r>
    </w:p>
    <w:p w14:paraId="6AFF06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一、项目基本情况</w:t>
      </w:r>
    </w:p>
    <w:p w14:paraId="479EC3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（一）项目概况</w:t>
      </w:r>
    </w:p>
    <w:p w14:paraId="7EEB2A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1.项目决策背景：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市县体彩公益金分成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，用于实施群众体育工作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EF381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2.项目主要内容：</w:t>
      </w:r>
    </w:p>
    <w:p w14:paraId="0BFBFF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进一步完善自然村体育设施建设，扩大全民健身设施自然村覆盖率，开展全民健身活动和健身比赛。</w:t>
      </w:r>
    </w:p>
    <w:p w14:paraId="2BA606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3.项目组织管理机构 沅陵县文旅广体局</w:t>
      </w:r>
    </w:p>
    <w:p w14:paraId="7FD3FF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（二）预算资金使用管理情况</w:t>
      </w:r>
    </w:p>
    <w:p w14:paraId="657D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Toc108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1.预算资金安排及管理情况</w:t>
      </w:r>
      <w:bookmarkEnd w:id="0"/>
    </w:p>
    <w:p w14:paraId="3E181D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（1）资金来源及拨付流程</w:t>
      </w:r>
    </w:p>
    <w:p w14:paraId="1FD0F5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2024年财政下达我局体彩公益资金115.43万元，资金来源为财政资金，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从申请到实施严格按照财务制度要求办理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5F16C1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（2）资金到位情况</w:t>
      </w:r>
    </w:p>
    <w:p w14:paraId="722E699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公共文化活动项目经费115.43万元，全部为财政资金，资金到位率100%。</w:t>
      </w:r>
    </w:p>
    <w:p w14:paraId="2166D5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（2）资金使用情况</w:t>
      </w:r>
    </w:p>
    <w:p w14:paraId="19C5143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体彩公益项目经费115.43万元，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截止202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年12月底，项目资金已使用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115.43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万元，执行率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主要用于乡镇（村）体育场所建设、参加省市级全民健身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包括太极拳、门球、篮球、乒乓球、马拉松、等10余个赛事)活动。</w:t>
      </w:r>
    </w:p>
    <w:p w14:paraId="2E0668C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（3）资金管理制度及执行情况</w:t>
      </w:r>
    </w:p>
    <w:p w14:paraId="3704B82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体彩公益活动</w:t>
      </w:r>
      <w:r>
        <w:rPr>
          <w:rFonts w:hint="eastAsia" w:ascii="仿宋" w:hAnsi="仿宋" w:eastAsia="仿宋" w:cs="仿宋"/>
          <w:kern w:val="0"/>
          <w:sz w:val="32"/>
          <w:szCs w:val="32"/>
        </w:rPr>
        <w:t>专项资金，全部保障到位，高效运行,发挥资金使用效益，无截留、挪用项目资金行为。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体彩公益项目经费115.43万元，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截止202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年12月底，项目资金已使用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115.43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万元，执行率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</w:p>
    <w:p w14:paraId="566975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2.项目组织实施管理情况</w:t>
      </w:r>
    </w:p>
    <w:p w14:paraId="5A9E8C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（三）预算绩效目标情况</w:t>
      </w:r>
    </w:p>
    <w:p w14:paraId="4BC00AD8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1.绩效目标：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完善公共体育基础设施建设，开展全民健身运动和比赛活动，提高广大群众身体素质。</w:t>
      </w:r>
    </w:p>
    <w:p w14:paraId="375910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绩效指标：（一）成本指标：①经济成本指标，体彩公益金项目经费115.43万元，②社会成本指标：社会成本节约率0，③生态环境成本指标：生态环境成本节约率0。（二）产出指标：①数量指标：全县体育场所建设15个，体育赛事活动10次。②质量指标 项目绩效目标达成率100%，③时效指标：完成及时性，2024年12月31日之前完成。（三）效益指标：①经济效益指标 提高专项资金使用效益。②社会效益指标： 有力地提升了群众体育和竞技体育影响力。③生态效益指标：改善文化宣传环境。④可持续影响指标：推动了群众对全民健身活动需求的持续增长。（四）满意度指标：服务对象满意率90以上。</w:t>
      </w:r>
      <w:bookmarkStart w:id="28" w:name="_GoBack"/>
      <w:bookmarkEnd w:id="28"/>
    </w:p>
    <w:p w14:paraId="3280C7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二、绩效评价工作情况</w:t>
      </w:r>
    </w:p>
    <w:p w14:paraId="2D67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（一）绩效评价目的</w:t>
      </w:r>
    </w:p>
    <w:p w14:paraId="5C06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了解2024年度单位整体支出情况、年度工作任务及项目完成情况，年度履职情况，以及所取得的效果。通过评价，在部门预算配置、预算执行等方面总结经验，找准存在的问题，为进一步加强和规范部门资金支出，提升预算配置的合理性；优化财政支出结构提供决策参考和依据，为下一步专项支出绩效评价的逐步推行进行经验性积累奠定基础。</w:t>
      </w:r>
    </w:p>
    <w:p w14:paraId="5FCE2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Toc11844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（二）被评价单位、绩效评价范围与时段</w:t>
      </w:r>
      <w:bookmarkEnd w:id="1"/>
    </w:p>
    <w:p w14:paraId="7E9BE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200" w:firstLine="320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专项绩效评价单位是本单位，评价范围是对2024年体彩公益活动项目工作开展情况进行评价。</w:t>
      </w:r>
    </w:p>
    <w:p w14:paraId="1556B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_Toc3183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（三）绩效评价原则、评价指标体系、评价方法</w:t>
      </w:r>
      <w:bookmarkEnd w:id="2"/>
    </w:p>
    <w:p w14:paraId="5241F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按照专项绩效管理有关规定，遵循客观、实事求是、公正、公开的原则，对项目决策、准备、实施等进行自我评价。</w:t>
      </w:r>
    </w:p>
    <w:p w14:paraId="08DA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_Toc32076"/>
      <w:bookmarkStart w:id="4" w:name="_Toc761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三、主要绩效及评价结论</w:t>
      </w:r>
      <w:bookmarkEnd w:id="3"/>
      <w:bookmarkEnd w:id="4"/>
    </w:p>
    <w:p w14:paraId="05394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（一）社会效益：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通过开展各类丰富多彩、形式多样的群众性体育活动，丰富了群众精神文化生活，激发了群众参与体育健身的热情，增强了人民体质，促进了社会和谐，推动了全民健身发展。</w:t>
      </w:r>
    </w:p>
    <w:p w14:paraId="4F120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（二）生态效益：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改善文化宣传环境</w:t>
      </w:r>
    </w:p>
    <w:p w14:paraId="06DB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（三）可持续影响：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增强全县的文化软实力和品牌影响力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（四）满意度情况：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服务对象满意率90%</w:t>
      </w:r>
    </w:p>
    <w:p w14:paraId="257AF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（五）评价结论</w:t>
      </w:r>
    </w:p>
    <w:p w14:paraId="4996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5" w:name="_Toc16332"/>
      <w:bookmarkStart w:id="6" w:name="_Toc27541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2024年单位群众体育活动工作任务已完成，目标责任履职情况良好,专项绩效自评综合得分为100分。</w:t>
      </w:r>
    </w:p>
    <w:p w14:paraId="0865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四、绩效评价指标分析</w:t>
      </w:r>
      <w:bookmarkEnd w:id="5"/>
      <w:bookmarkEnd w:id="6"/>
    </w:p>
    <w:p w14:paraId="3C55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7" w:name="_Toc17679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(一)项目决策情况</w:t>
      </w:r>
      <w:bookmarkEnd w:id="7"/>
    </w:p>
    <w:p w14:paraId="04E4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1、前期准备：准备自评资料并保证完整性、及时性、真实性、佐证材料的准备、材料质量等要求。</w:t>
      </w:r>
    </w:p>
    <w:p w14:paraId="0525C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2、组织实施：包括布置、审核、检查等情况存在的问题及有关意见及建议。</w:t>
      </w:r>
    </w:p>
    <w:p w14:paraId="44278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3、分析评价：按照项目绩效管理有关规定，遵循客观、实事求是、公正、公开的原则，对项目决策、准备、实施等进行了自我评价。</w:t>
      </w:r>
    </w:p>
    <w:p w14:paraId="0878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8" w:name="_Toc2841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(二)项目过程情况</w:t>
      </w:r>
      <w:bookmarkEnd w:id="8"/>
    </w:p>
    <w:p w14:paraId="2D2D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9" w:name="_Toc1014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1.资金管理</w:t>
      </w:r>
      <w:bookmarkEnd w:id="9"/>
    </w:p>
    <w:p w14:paraId="6F79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凡拨付到我单位的专项资金，我们均做到专款专用，绝不挤占不挪用，专项资金由财政拨付到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bCs/>
          <w:sz w:val="32"/>
          <w:szCs w:val="32"/>
        </w:rPr>
        <w:t>后，均按合同约定，由单位分管财务领导签字后进行支付。该项目中我们严格按照财务有关纪律和程序要求进行资金管理，达到了预期目的。</w:t>
      </w:r>
    </w:p>
    <w:p w14:paraId="24F4F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0" w:name="_Toc12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2.项目实施</w:t>
      </w:r>
      <w:bookmarkEnd w:id="10"/>
    </w:p>
    <w:p w14:paraId="5F69A43C">
      <w:pPr>
        <w:widowControl/>
        <w:shd w:val="clear" w:color="auto" w:fill="FFFFFF"/>
        <w:spacing w:line="510" w:lineRule="atLeas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、项目组织情况分析</w:t>
      </w:r>
    </w:p>
    <w:p w14:paraId="62DC1AFE">
      <w:pPr>
        <w:widowControl/>
        <w:shd w:val="clear" w:color="auto" w:fill="FFFFFF"/>
        <w:spacing w:line="510" w:lineRule="atLeast"/>
        <w:ind w:firstLine="707" w:firstLine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招投标方面，凡是单个项目采购金额达到采购标准的，均依法采用公开招投标方式组织项目实施；一般情况下，不进行项目调整，确需要调整的，均依照财政部门规定，按照程序报批后方予以调整；所有项目竣工验收等工作，均由业务股室按照规定程序进行，验收完成后财务方开展报账和支付工作。</w:t>
      </w:r>
    </w:p>
    <w:p w14:paraId="4AD160B9">
      <w:pPr>
        <w:pStyle w:val="8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、项目管理情况分析</w:t>
      </w:r>
    </w:p>
    <w:p w14:paraId="189CCDA1">
      <w:pPr>
        <w:ind w:firstLine="627" w:firstLineChars="196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1" w:name="_Toc6604"/>
      <w:r>
        <w:rPr>
          <w:rFonts w:hint="eastAsia" w:ascii="仿宋" w:hAnsi="仿宋" w:eastAsia="仿宋" w:cs="仿宋"/>
          <w:bCs/>
          <w:sz w:val="32"/>
          <w:szCs w:val="32"/>
        </w:rPr>
        <w:t>按照专项资金项目管理制度，经常性自查，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Cs/>
          <w:sz w:val="32"/>
          <w:szCs w:val="32"/>
        </w:rPr>
        <w:t>派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管理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Cs/>
          <w:sz w:val="32"/>
          <w:szCs w:val="32"/>
        </w:rPr>
        <w:t>人员进行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日常管理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542B0D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(三)项目产出情况</w:t>
      </w:r>
      <w:bookmarkEnd w:id="11"/>
    </w:p>
    <w:p w14:paraId="15A408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2" w:name="_Toc2074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1.产出数量</w:t>
      </w:r>
      <w:bookmarkEnd w:id="1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：完成体育场所建设15个、体育赛事活动10余次。</w:t>
      </w:r>
    </w:p>
    <w:p w14:paraId="3041D0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3" w:name="_Toc537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2.产出质量</w:t>
      </w:r>
      <w:bookmarkEnd w:id="1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：项目绩效目标达成率100%</w:t>
      </w:r>
    </w:p>
    <w:p w14:paraId="45DF53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4" w:name="_Toc2594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3.产出成本</w:t>
      </w:r>
      <w:bookmarkEnd w:id="1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：项目活动成本控制在预算之内。</w:t>
      </w:r>
    </w:p>
    <w:p w14:paraId="6559B3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5" w:name="_Toc21477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4.产出时效</w:t>
      </w:r>
      <w:bookmarkEnd w:id="1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：2024年内按时完成工作任务。</w:t>
      </w:r>
    </w:p>
    <w:p w14:paraId="4F6198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6" w:name="_Toc12690"/>
      <w:bookmarkStart w:id="17" w:name="_Toc307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(四)项目效益情况</w:t>
      </w:r>
      <w:bookmarkEnd w:id="16"/>
      <w:bookmarkEnd w:id="17"/>
    </w:p>
    <w:p w14:paraId="1B98C6B4">
      <w:pPr>
        <w:pStyle w:val="4"/>
        <w:spacing w:before="0" w:beforeAutospacing="0" w:after="150" w:afterAutospacing="0" w:line="510" w:lineRule="atLeast"/>
        <w:ind w:firstLine="320" w:firstLineChars="100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1、项目经济性分析</w:t>
      </w:r>
    </w:p>
    <w:p w14:paraId="43792B95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（1）项目成本（预算）控制情况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项目成本控制在预算范围之内，可控制。</w:t>
      </w:r>
    </w:p>
    <w:p w14:paraId="4137CF66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（2）项目成本（预算）节约情况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:按照合同金额支付项目活动经费。</w:t>
      </w:r>
    </w:p>
    <w:p w14:paraId="086E8ACC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2、项目的效率性分析    </w:t>
      </w:r>
    </w:p>
    <w:p w14:paraId="5E8DC43B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（1）项目的实施进度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所有项目于202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年年底全部完成。</w:t>
      </w:r>
    </w:p>
    <w:p w14:paraId="3CCD23FA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（2）项目完成质量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：该项目按质保量完成。</w:t>
      </w:r>
    </w:p>
    <w:p w14:paraId="6427A919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3、项目的效益性分析</w:t>
      </w:r>
    </w:p>
    <w:p w14:paraId="111C6F11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（1）项目预期目标完成程度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按照项目既定目标，基本完成。</w:t>
      </w:r>
    </w:p>
    <w:p w14:paraId="02D2FFF6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（2）项目实施对经济和社会的影响</w:t>
      </w:r>
    </w:p>
    <w:p w14:paraId="4B6F01CE">
      <w:pPr>
        <w:ind w:firstLine="640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公共体育场所基础设施的改造、文体活动的开展</w:t>
      </w:r>
      <w:r>
        <w:rPr>
          <w:rFonts w:hint="eastAsia" w:ascii="仿宋" w:hAnsi="仿宋" w:eastAsia="仿宋" w:cs="仿宋"/>
          <w:sz w:val="32"/>
          <w:szCs w:val="32"/>
        </w:rPr>
        <w:t>，从而促进了全县群众体育活动的积极性，进一步完善了全民健身服务设施，较好地满足了人民群众健身的需求,有利于我县体育事业的健康发展。</w:t>
      </w:r>
    </w:p>
    <w:p w14:paraId="24D6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8" w:name="_Toc390267055"/>
      <w:bookmarkStart w:id="19" w:name="_Toc390096931"/>
      <w:bookmarkStart w:id="20" w:name="_Toc12414"/>
      <w:bookmarkStart w:id="21" w:name="_Toc2424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五、项目主要经验、存在的问题</w:t>
      </w:r>
      <w:bookmarkEnd w:id="18"/>
      <w:bookmarkEnd w:id="19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及建议</w:t>
      </w:r>
      <w:bookmarkEnd w:id="20"/>
      <w:bookmarkEnd w:id="21"/>
    </w:p>
    <w:p w14:paraId="572A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2" w:name="_Toc23434"/>
      <w:bookmarkStart w:id="23" w:name="_Toc5316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（一）项目主要经验</w:t>
      </w:r>
      <w:bookmarkEnd w:id="2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及做法</w:t>
      </w:r>
      <w:bookmarkEnd w:id="23"/>
    </w:p>
    <w:p w14:paraId="49C2527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我局以绩效目标实现为导向，进一步加强制度建设，提升自评质量，预算绩效管理取得新成效。一是绩效目标编制，及时报送绩效目标。二是对专项活动开展情况绩效过程进行跟踪监控。三是健全绩效管理工作机制，明确分工，努力提高绩效管理工作水平。</w:t>
      </w:r>
      <w:bookmarkStart w:id="24" w:name="_Toc2597"/>
      <w:bookmarkStart w:id="25" w:name="_Toc6772"/>
    </w:p>
    <w:p w14:paraId="048AE7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存在的问题</w:t>
      </w:r>
      <w:bookmarkEnd w:id="24"/>
      <w:bookmarkEnd w:id="2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无</w:t>
      </w:r>
      <w:bookmarkStart w:id="26" w:name="_Toc29278"/>
      <w:bookmarkStart w:id="27" w:name="_Toc16271"/>
    </w:p>
    <w:p w14:paraId="15F6133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（三）有关建议</w:t>
      </w:r>
      <w:bookmarkEnd w:id="26"/>
      <w:bookmarkEnd w:id="27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无</w:t>
      </w:r>
    </w:p>
    <w:p w14:paraId="639BD6E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沅陵县文旅广体局</w:t>
      </w: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9CE9F4F0-5A83-41CB-9C59-29E7492AE1F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49249F-AF81-4689-A75A-947DD387DD9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8AA2BD3-00AB-4FC7-96F9-67A121D947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3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3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0C929"/>
    <w:multiLevelType w:val="singleLevel"/>
    <w:tmpl w:val="9E20C9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B30A3"/>
    <w:rsid w:val="0AB15C77"/>
    <w:rsid w:val="0AC166C0"/>
    <w:rsid w:val="0CB332F9"/>
    <w:rsid w:val="0E813BB2"/>
    <w:rsid w:val="11EB7CC0"/>
    <w:rsid w:val="1300779B"/>
    <w:rsid w:val="16007AB2"/>
    <w:rsid w:val="1DB95116"/>
    <w:rsid w:val="1E650DFA"/>
    <w:rsid w:val="1E982F7E"/>
    <w:rsid w:val="21E2122C"/>
    <w:rsid w:val="254F010E"/>
    <w:rsid w:val="25665261"/>
    <w:rsid w:val="266F2816"/>
    <w:rsid w:val="299802D6"/>
    <w:rsid w:val="2D377E06"/>
    <w:rsid w:val="2F3132A8"/>
    <w:rsid w:val="2F7C41F6"/>
    <w:rsid w:val="2FD951A4"/>
    <w:rsid w:val="31B23EFF"/>
    <w:rsid w:val="377F4883"/>
    <w:rsid w:val="3AA93EBC"/>
    <w:rsid w:val="3FCA68B7"/>
    <w:rsid w:val="47AF596A"/>
    <w:rsid w:val="4AE03433"/>
    <w:rsid w:val="4E1B36C5"/>
    <w:rsid w:val="4F5B752C"/>
    <w:rsid w:val="52E427CA"/>
    <w:rsid w:val="551C775D"/>
    <w:rsid w:val="572244AF"/>
    <w:rsid w:val="578C2978"/>
    <w:rsid w:val="5DB46785"/>
    <w:rsid w:val="61E17D65"/>
    <w:rsid w:val="67E4410B"/>
    <w:rsid w:val="68C31F72"/>
    <w:rsid w:val="69DD71DF"/>
    <w:rsid w:val="6B080110"/>
    <w:rsid w:val="6B2A6711"/>
    <w:rsid w:val="6DDB1B0C"/>
    <w:rsid w:val="6F286FD3"/>
    <w:rsid w:val="702F4391"/>
    <w:rsid w:val="70795219"/>
    <w:rsid w:val="73045661"/>
    <w:rsid w:val="751F49D4"/>
    <w:rsid w:val="78A0582D"/>
    <w:rsid w:val="7D2C4132"/>
    <w:rsid w:val="7E5C45A3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styleId="8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2295</Words>
  <Characters>2408</Characters>
  <Lines>0</Lines>
  <Paragraphs>0</Paragraphs>
  <TotalTime>5</TotalTime>
  <ScaleCrop>false</ScaleCrop>
  <LinksUpToDate>false</LinksUpToDate>
  <CharactersWithSpaces>2446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2025-02-17T08:53:00Z</dcterms:created>
  <dc:creator>Administrator</dc:creator>
  <cp:lastModifiedBy>WPS_1539153943</cp:lastModifiedBy>
  <cp:lastPrinted>2025-07-21T06:47:38Z</cp:lastPrinted>
  <dcterms:modified xsi:type="dcterms:W3CDTF">2025-07-21T06:49:34Z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eyJoZGlkIjoiMmVhYWExY2VlMDNlZTVlNWZjYjg1MDdiNGM0YmUxZmQiLCJ1c2VySWQiOiI0MTUwNDU5NzEifQ==</vt:lpwstr>
  </property>
  <property fmtid="{D5CDD505-2E9C-101B-9397-08002B2CF9AE}" pid="4" name="ICV">
    <vt:lpwstr>727097A6A05647B9A2AC6A0A56E6A72C_12</vt:lpwstr>
  </property>
</Properties>
</file>