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jc w:val="center"/>
        <w:rPr>
          <w:rFonts w:hint="eastAsia" w:ascii="黑体" w:hAnsi="黑体" w:eastAsia="黑体" w:cs="黑体"/>
          <w:b/>
          <w:bCs/>
          <w:sz w:val="44"/>
          <w:szCs w:val="44"/>
        </w:rPr>
      </w:pPr>
    </w:p>
    <w:p>
      <w:pPr>
        <w:adjustRightInd w:val="0"/>
        <w:spacing w:line="600" w:lineRule="exact"/>
        <w:ind w:right="641"/>
        <w:jc w:val="center"/>
        <w:rPr>
          <w:rFonts w:hint="eastAsia" w:ascii="黑体" w:hAnsi="黑体" w:eastAsia="黑体" w:cs="黑体"/>
          <w:b/>
          <w:bCs/>
          <w:sz w:val="44"/>
          <w:szCs w:val="44"/>
        </w:rPr>
      </w:pPr>
    </w:p>
    <w:p>
      <w:pPr>
        <w:adjustRightInd w:val="0"/>
        <w:spacing w:line="600" w:lineRule="exact"/>
        <w:ind w:right="641"/>
        <w:jc w:val="center"/>
        <w:rPr>
          <w:rFonts w:hint="eastAsia" w:ascii="黑体" w:hAnsi="黑体" w:eastAsia="黑体" w:cs="黑体"/>
          <w:b/>
          <w:bCs/>
          <w:sz w:val="44"/>
          <w:szCs w:val="44"/>
        </w:rPr>
      </w:pPr>
    </w:p>
    <w:p>
      <w:pPr>
        <w:adjustRightInd w:val="0"/>
        <w:spacing w:line="600" w:lineRule="exact"/>
        <w:ind w:right="641"/>
        <w:jc w:val="center"/>
        <w:rPr>
          <w:rFonts w:hint="eastAsia" w:ascii="黑体" w:hAnsi="黑体" w:eastAsia="黑体" w:cs="黑体"/>
          <w:b/>
          <w:bCs/>
          <w:sz w:val="44"/>
          <w:szCs w:val="44"/>
        </w:rPr>
      </w:pPr>
    </w:p>
    <w:p>
      <w:pPr>
        <w:adjustRightInd w:val="0"/>
        <w:spacing w:line="600" w:lineRule="exact"/>
        <w:ind w:right="641"/>
        <w:jc w:val="center"/>
        <w:rPr>
          <w:rFonts w:hint="eastAsia" w:ascii="黑体" w:hAnsi="黑体" w:eastAsia="黑体" w:cs="黑体"/>
          <w:b/>
          <w:bCs/>
          <w:sz w:val="44"/>
          <w:szCs w:val="44"/>
        </w:rPr>
      </w:pPr>
    </w:p>
    <w:p>
      <w:pPr>
        <w:adjustRightInd w:val="0"/>
        <w:spacing w:line="600" w:lineRule="exact"/>
        <w:ind w:right="641"/>
        <w:jc w:val="center"/>
        <w:rPr>
          <w:rFonts w:hint="eastAsia" w:ascii="黑体" w:hAnsi="黑体" w:eastAsia="黑体" w:cs="黑体"/>
          <w:b/>
          <w:bCs/>
          <w:sz w:val="44"/>
          <w:szCs w:val="44"/>
        </w:rPr>
      </w:pPr>
    </w:p>
    <w:p>
      <w:pPr>
        <w:adjustRightInd w:val="0"/>
        <w:spacing w:line="600" w:lineRule="exact"/>
        <w:ind w:right="641"/>
        <w:jc w:val="center"/>
        <w:rPr>
          <w:rFonts w:hint="eastAsia" w:ascii="黑体" w:hAnsi="黑体" w:eastAsia="黑体" w:cs="黑体"/>
          <w:b/>
          <w:bCs/>
          <w:sz w:val="44"/>
          <w:szCs w:val="44"/>
        </w:rPr>
      </w:pPr>
    </w:p>
    <w:p>
      <w:pPr>
        <w:adjustRightInd w:val="0"/>
        <w:spacing w:line="600" w:lineRule="exact"/>
        <w:ind w:right="641"/>
        <w:jc w:val="center"/>
        <w:rPr>
          <w:rFonts w:hint="eastAsia" w:ascii="黑体" w:hAnsi="黑体" w:eastAsia="黑体" w:cs="黑体"/>
          <w:b/>
          <w:bCs/>
          <w:sz w:val="44"/>
          <w:szCs w:val="44"/>
        </w:rPr>
      </w:pPr>
    </w:p>
    <w:p>
      <w:pPr>
        <w:adjustRightInd w:val="0"/>
        <w:spacing w:line="600" w:lineRule="exact"/>
        <w:ind w:right="641"/>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val="0"/>
          <w:bCs w:val="0"/>
          <w:sz w:val="44"/>
          <w:szCs w:val="44"/>
        </w:rPr>
        <w:t>沅陵县档案</w:t>
      </w:r>
      <w:r>
        <w:rPr>
          <w:rFonts w:hint="eastAsia" w:ascii="方正小标宋_GBK" w:hAnsi="方正小标宋_GBK" w:eastAsia="方正小标宋_GBK" w:cs="方正小标宋_GBK"/>
          <w:b w:val="0"/>
          <w:bCs w:val="0"/>
          <w:sz w:val="44"/>
          <w:szCs w:val="44"/>
          <w:lang w:eastAsia="zh-CN"/>
        </w:rPr>
        <w:t>馆202</w:t>
      </w:r>
      <w:r>
        <w:rPr>
          <w:rFonts w:hint="eastAsia" w:ascii="方正小标宋_GBK" w:hAnsi="方正小标宋_GBK" w:eastAsia="方正小标宋_GBK" w:cs="方正小标宋_GBK"/>
          <w:b w:val="0"/>
          <w:bCs w:val="0"/>
          <w:sz w:val="44"/>
          <w:szCs w:val="44"/>
          <w:lang w:val="en-US" w:eastAsia="zh-CN"/>
        </w:rPr>
        <w:t>4</w:t>
      </w:r>
      <w:r>
        <w:rPr>
          <w:rFonts w:hint="eastAsia" w:ascii="方正小标宋_GBK" w:hAnsi="方正小标宋_GBK" w:eastAsia="方正小标宋_GBK" w:cs="方正小标宋_GBK"/>
          <w:b w:val="0"/>
          <w:bCs w:val="0"/>
          <w:sz w:val="44"/>
          <w:szCs w:val="44"/>
        </w:rPr>
        <w:t>年度</w:t>
      </w:r>
      <w:r>
        <w:rPr>
          <w:rFonts w:hint="eastAsia" w:ascii="方正小标宋_GBK" w:hAnsi="方正小标宋_GBK" w:eastAsia="方正小标宋_GBK" w:cs="方正小标宋_GBK"/>
          <w:b w:val="0"/>
          <w:bCs w:val="0"/>
          <w:sz w:val="44"/>
          <w:szCs w:val="44"/>
          <w:lang w:eastAsia="zh-CN"/>
        </w:rPr>
        <w:t>馆藏档案数字化（一期）项目</w:t>
      </w:r>
      <w:r>
        <w:rPr>
          <w:rFonts w:hint="eastAsia" w:ascii="方正小标宋_GBK" w:hAnsi="方正小标宋_GBK" w:eastAsia="方正小标宋_GBK" w:cs="方正小标宋_GBK"/>
          <w:b w:val="0"/>
          <w:bCs w:val="0"/>
          <w:sz w:val="44"/>
          <w:szCs w:val="44"/>
        </w:rPr>
        <w:t>绩效</w:t>
      </w:r>
      <w:r>
        <w:rPr>
          <w:rFonts w:hint="eastAsia" w:ascii="方正小标宋_GBK" w:hAnsi="方正小标宋_GBK" w:eastAsia="方正小标宋_GBK" w:cs="方正小标宋_GBK"/>
          <w:b w:val="0"/>
          <w:bCs w:val="0"/>
          <w:sz w:val="44"/>
          <w:szCs w:val="44"/>
          <w:lang w:eastAsia="zh-CN"/>
        </w:rPr>
        <w:t>评价</w:t>
      </w:r>
      <w:r>
        <w:rPr>
          <w:rFonts w:hint="eastAsia" w:ascii="方正小标宋_GBK" w:hAnsi="方正小标宋_GBK" w:eastAsia="方正小标宋_GBK" w:cs="方正小标宋_GBK"/>
          <w:b w:val="0"/>
          <w:bCs w:val="0"/>
          <w:sz w:val="44"/>
          <w:szCs w:val="44"/>
        </w:rPr>
        <w:t>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方正小标宋_GBK" w:hAnsi="方正小标宋_GBK" w:eastAsia="方正小标宋_GBK" w:cs="方正小标宋_GBK"/>
          <w:i w:val="0"/>
          <w:iCs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一、项目基本情况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2" w:firstLineChars="2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1.项目决策背景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根据中共湖南省委办公厅、湖南省人民政府办公厅印发《“十四五”湖南省档案事业发展规划》，依据</w:t>
      </w:r>
      <w:r>
        <w:rPr>
          <w:rFonts w:hint="eastAsia" w:ascii="仿宋" w:hAnsi="仿宋" w:eastAsia="仿宋" w:cs="仿宋"/>
          <w:sz w:val="32"/>
          <w:szCs w:val="32"/>
          <w:lang w:val="en-US" w:eastAsia="zh-CN"/>
        </w:rPr>
        <w:t>中共沅陵县委常委专题会议纪要〔2023〕28期议定事项，列入县财政阶段性预算项目。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完成馆藏档案数字化建设（一期）当年任务。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3.项目组织管理机构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沅陵县档案馆项目管理领导小组。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2" w:firstLineChars="200"/>
        <w:jc w:val="both"/>
        <w:textAlignment w:val="auto"/>
        <w:rPr>
          <w:rFonts w:hint="default" w:ascii="楷体" w:hAnsi="楷体" w:eastAsia="楷体" w:cs="楷体"/>
          <w:b/>
          <w:bCs/>
          <w:i w:val="0"/>
          <w:iCs w:val="0"/>
          <w:caps w:val="0"/>
          <w:color w:val="000000"/>
          <w:spacing w:val="0"/>
          <w:sz w:val="32"/>
          <w:szCs w:val="32"/>
          <w:shd w:val="clear" w:fill="FFFFFF"/>
        </w:rPr>
      </w:pPr>
      <w:r>
        <w:rPr>
          <w:rFonts w:hint="default" w:ascii="楷体" w:hAnsi="楷体" w:eastAsia="楷体" w:cs="楷体"/>
          <w:b/>
          <w:bCs/>
          <w:i w:val="0"/>
          <w:iCs w:val="0"/>
          <w:caps w:val="0"/>
          <w:color w:val="000000"/>
          <w:spacing w:val="0"/>
          <w:sz w:val="32"/>
          <w:szCs w:val="32"/>
          <w:shd w:val="clear" w:fill="FFFFFF"/>
        </w:rPr>
        <w:t>（二）预算资金使用管理情况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0" w:name="_Toc108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本项目为阶段性项目。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1.预算资金安排及管理情况</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（1）资金来源及拨付流程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资金来源为县财政拨款，严格执行国库集中支付制度。拨付流程为年初预算（或追加预算）</w:t>
      </w:r>
      <w:r>
        <w:rPr>
          <w:rFonts w:hint="eastAsia" w:ascii="华文仿宋" w:hAnsi="华文仿宋" w:eastAsia="华文仿宋" w:cs="华文仿宋"/>
          <w:i w:val="0"/>
          <w:iCs w:val="0"/>
          <w:caps w:val="0"/>
          <w:color w:val="000000"/>
          <w:spacing w:val="0"/>
          <w:kern w:val="0"/>
          <w:sz w:val="32"/>
          <w:szCs w:val="32"/>
          <w:shd w:val="clear" w:fill="FFFFFF"/>
          <w:lang w:val="en-US" w:eastAsia="zh-CN" w:bidi="ar"/>
        </w:rPr>
        <w:t>→</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经县人大批准</w:t>
      </w:r>
      <w:r>
        <w:rPr>
          <w:rFonts w:hint="eastAsia" w:ascii="华文仿宋" w:hAnsi="华文仿宋" w:eastAsia="华文仿宋" w:cs="华文仿宋"/>
          <w:i w:val="0"/>
          <w:iCs w:val="0"/>
          <w:caps w:val="0"/>
          <w:color w:val="000000"/>
          <w:spacing w:val="0"/>
          <w:kern w:val="0"/>
          <w:sz w:val="32"/>
          <w:szCs w:val="32"/>
          <w:shd w:val="clear" w:fill="FFFFFF"/>
          <w:lang w:val="en-US" w:eastAsia="zh-CN" w:bidi="ar"/>
        </w:rPr>
        <w:t>→县财政局根据经批准的预算安排资金并编制项目资金用款计划下达到本单位→本单位根据项目进度和资金需求向财政局提交资金拨付申请→县财政局对资金拨付申请进行审核→财政局按照批准的金额和支付方式下达额度到本单位的零余额账户→本单位严格依据单位项目管理相关制度及财务相关管理制度支付给供应（服务）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（2）资金到位情况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2024年度年初预算0.00万元，全年预算资金50.00万元，到位资金50.00万元，到位率为100%。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3</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）资金使用情况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2024年度实际支出资金50.00万元，结余0.00万元。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（3）资金管理制度及执行情况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严格按国家相关规定和《沅陵县财政投资评审管理暂行办法》、《沅陵县财政项目资金管理暂行办法》、《沅陵县项目资金使用绩效跟踪考核暂行办法》、《沅陵县档案馆项目资金管理制度》等管理项目，都按政府采购管理程序严格办理了包括招投标在内的政府采购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.项目组织实施管理情况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本项目是</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完成馆藏档案数字化建设的</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费用支出，由相关室</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及部门</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提出工作计划或安排，馆领导班子会集体研究决定后交办具体负责人员执行。在项目实施日常中，加强了</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监管</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及日常检查，明确项目管理和实施的具体责任</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部门</w:t>
      </w:r>
      <w:r>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t>和责任人，强化资金使用管理监督，确保发挥主观能动性，以此规范管理和使用，提高资金使用效率。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2" w:firstLineChars="200"/>
        <w:jc w:val="both"/>
        <w:textAlignment w:val="auto"/>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（三）预算绩效目标情况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1.绩效目标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项目绩效总目标是完成馆藏档案数字化建设（一期），在档案安全保存保管给予数字赋能，推进我县档案事业信息化发展，更好助力全县社会和经济全面发展。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主要目标一：本年度完成明清、民国档案、革命历史档案及老旧文书档案等纸质档案的数字化建设加工量不低于200万A4标准页。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主要目标二：建立SAS 数字档案管理系统(信创网络版)及配套服务器和相应监控系统。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2.绩效指标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年度资金总额执行率指标是衡量项目是否真正落实落地的首要指标，其它四类基本指标如下：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（1）成本指标：包含经济成本指标、社会成本指标、生态环境成本指标。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（2）产出指标：包含数量指标、质量指标、时效指标。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（3）效益指标：包含经济效益指标、社会效益指标、生态效益指标、可持续效益指标。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（4）满意度指标：服务对象满意度指标。</w:t>
      </w:r>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leftChars="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二、绩效评价工作情况</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2"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（一）绩效评价目的</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CESI仿宋-GB2312" w:hAnsi="CESI仿宋-GB2312" w:eastAsia="CESI仿宋-GB2312" w:cs="CESI仿宋-GB2312"/>
          <w:b w:val="0"/>
          <w:bCs w:val="0"/>
          <w:i w:val="0"/>
          <w:iCs w:val="0"/>
          <w:caps w:val="0"/>
          <w:color w:val="000000"/>
          <w:spacing w:val="0"/>
          <w:kern w:val="0"/>
          <w:sz w:val="32"/>
          <w:szCs w:val="32"/>
          <w:shd w:val="clear" w:fill="FFFFFF"/>
          <w:lang w:val="en-US" w:eastAsia="zh-CN" w:bidi="ar"/>
        </w:rPr>
        <w:t>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量和评估本单位使用财政项目资金的经济性、效率性和效果性，从而加强和规范财政性资金管理、提升财政性资金项目的科学化精细化管理水平、提高财政性资金使用效益。</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2"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 w:name="_Toc11844"/>
      <w:r>
        <w:rPr>
          <w:rFonts w:hint="eastAsia" w:ascii="楷体" w:hAnsi="楷体" w:eastAsia="楷体" w:cs="楷体"/>
          <w:b/>
          <w:bCs/>
          <w:i w:val="0"/>
          <w:iCs w:val="0"/>
          <w:caps w:val="0"/>
          <w:color w:val="000000"/>
          <w:spacing w:val="0"/>
          <w:kern w:val="0"/>
          <w:sz w:val="32"/>
          <w:szCs w:val="32"/>
          <w:shd w:val="clear" w:fill="FFFFFF"/>
          <w:lang w:val="en-US" w:eastAsia="zh-CN" w:bidi="ar"/>
        </w:rPr>
        <w:t>（二）被评价单位、绩效评价范围与时段</w:t>
      </w:r>
      <w:bookmarkEnd w:id="1"/>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1.被评价单位</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沅陵县档案馆。</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2.评价范围</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馆藏档案数字化建设（一期）项目的决策、执行、产出、效益全流程。</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3.时段</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default" w:ascii="CESI仿宋-GB2312" w:hAnsi="CESI仿宋-GB2312" w:eastAsia="CESI仿宋-GB2312" w:cs="CESI仿宋-GB2312"/>
          <w:b/>
          <w:bCs/>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2024年1月1日至2024年12月31日。</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2"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2" w:name="_Toc31835"/>
      <w:r>
        <w:rPr>
          <w:rFonts w:hint="eastAsia" w:ascii="楷体" w:hAnsi="楷体" w:eastAsia="楷体" w:cs="楷体"/>
          <w:b/>
          <w:bCs/>
          <w:i w:val="0"/>
          <w:iCs w:val="0"/>
          <w:caps w:val="0"/>
          <w:color w:val="000000"/>
          <w:spacing w:val="0"/>
          <w:kern w:val="0"/>
          <w:sz w:val="32"/>
          <w:szCs w:val="32"/>
          <w:shd w:val="clear" w:fill="FFFFFF"/>
          <w:lang w:val="en-US" w:eastAsia="zh-CN" w:bidi="ar"/>
        </w:rPr>
        <w:t>（三）绩效评价原则、评价指标体系、评价方法</w:t>
      </w:r>
      <w:bookmarkEnd w:id="2"/>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1.绩效评价原则</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坚持遵循科学规范、公开公正、分级分类、绩效相关原则，根据财政下发的专项资金绩效评价考核指标表相关内容，主要围绕资金投入、使用、资源配置、项目管理等客观分析项目的产出和效果，体现从投入、过程、产出、效果四个方面的内容，具备科学性、严谨性和可行性。</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2.评价指标体系</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共设置前置指标1项，一级指标4项，二级指标11项，三级指标11项。评价结果满分100分，90分（含）-100分为优，80分（含）-90分为良，60分（含）-80分为较差，60分以下为差。</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3.评价方法</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主要采用成本效益分析法、因素分析法、公众评判法。</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3" w:name="_Toc7615"/>
      <w:bookmarkStart w:id="4" w:name="_Toc32076"/>
      <w:r>
        <w:rPr>
          <w:rFonts w:hint="eastAsia" w:ascii="黑体" w:hAnsi="黑体" w:eastAsia="黑体" w:cs="黑体"/>
          <w:i w:val="0"/>
          <w:iCs w:val="0"/>
          <w:caps w:val="0"/>
          <w:color w:val="000000"/>
          <w:spacing w:val="0"/>
          <w:kern w:val="0"/>
          <w:sz w:val="32"/>
          <w:szCs w:val="32"/>
          <w:shd w:val="clear" w:fill="FFFFFF"/>
          <w:lang w:val="en-US" w:eastAsia="zh-CN" w:bidi="ar"/>
        </w:rPr>
        <w:t>三、主要绩效及评价结论</w:t>
      </w:r>
      <w:bookmarkEnd w:id="3"/>
      <w:bookmarkEnd w:id="4"/>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2"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（一）社会效益</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为档案利用查询提供优质服务。档案数字化建设有利于减少纸质档案的存取和直接利用，减缓其损耗速度和降低损坏可能性，在查询利用时一般不需要使用人工纸质目录和到库房调取纸质原卷，使用配套档案管理系统输入关键字即可可极速找到相关数字化件，大幅提高查询利用速度，同时提升查阅利用人员和工作人员的体验感。</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2"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（二）生态效益</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对当年数字化档案有破损污损纸质原件进行有效修复。本年因项目启动在3月，仅对老旧文书破损档案进行了部分简单修复，而明清、民国部分的重点档案未开始修复。</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2"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（三）可持续影响</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数字化工作可持续发展。在所有干部职工努力下，数字化建设管理、服务全年稳定，为以后可持续开展数字化工作打下了良好基础。</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2"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（四）满意度情况</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default" w:ascii="楷体" w:hAnsi="楷体" w:eastAsia="楷体" w:cs="楷体"/>
          <w:b/>
          <w:bCs/>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服务对象满意度。社会公众和进驻单位对本项目的实施，没有投诉现象发生，综合满意度达95%以上。</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2"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（五）评价结论</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default" w:ascii="楷体" w:hAnsi="楷体" w:eastAsia="楷体" w:cs="楷体"/>
          <w:b/>
          <w:bCs/>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综合自评得</w:t>
      </w:r>
      <w:bookmarkStart w:id="28" w:name="_GoBack"/>
      <w:bookmarkEnd w:id="28"/>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分96分，评价结论：优。</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5" w:name="_Toc27541"/>
      <w:bookmarkStart w:id="6" w:name="_Toc16332"/>
      <w:r>
        <w:rPr>
          <w:rFonts w:hint="eastAsia" w:ascii="黑体" w:hAnsi="黑体" w:eastAsia="黑体" w:cs="黑体"/>
          <w:i w:val="0"/>
          <w:iCs w:val="0"/>
          <w:caps w:val="0"/>
          <w:color w:val="000000"/>
          <w:spacing w:val="0"/>
          <w:kern w:val="0"/>
          <w:sz w:val="32"/>
          <w:szCs w:val="32"/>
          <w:shd w:val="clear" w:fill="FFFFFF"/>
          <w:lang w:val="en-US" w:eastAsia="zh-CN" w:bidi="ar"/>
        </w:rPr>
        <w:t>四、绩效评价指标分析</w:t>
      </w:r>
      <w:bookmarkEnd w:id="5"/>
      <w:bookmarkEnd w:id="6"/>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2"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7" w:name="_Toc17679"/>
      <w:r>
        <w:rPr>
          <w:rFonts w:hint="eastAsia" w:ascii="楷体" w:hAnsi="楷体" w:eastAsia="楷体" w:cs="楷体"/>
          <w:b/>
          <w:bCs/>
          <w:i w:val="0"/>
          <w:iCs w:val="0"/>
          <w:caps w:val="0"/>
          <w:color w:val="000000"/>
          <w:spacing w:val="0"/>
          <w:kern w:val="0"/>
          <w:sz w:val="32"/>
          <w:szCs w:val="32"/>
          <w:shd w:val="clear" w:fill="FFFFFF"/>
          <w:lang w:val="en-US" w:eastAsia="zh-CN" w:bidi="ar"/>
        </w:rPr>
        <w:t>(一)项目决策情况</w:t>
      </w:r>
      <w:bookmarkEnd w:id="7"/>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8" w:name="_Toc28411"/>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为落实“为党管档，为国守史”，为优化档案资源，夯实档案信息化基础，提高档案查询利用效率，更好保护纸质档案和珍贵历史档案，依据中共沅陵县委常委专题会议纪要〔2023〕28期议定事项安排，由本单位班子集体研究决定，报请县委、县政府领导批准落实的本项目。</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2" w:firstLineChars="200"/>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(二)项目过程情况</w:t>
      </w:r>
      <w:bookmarkEnd w:id="8"/>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9" w:name="_Toc1014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1.资金管理</w:t>
      </w:r>
      <w:bookmarkEnd w:id="9"/>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（1）严格执行项目资金拨付程序，资金的拨付有完整的审批程序和手续，项目的开支符合财政相关规定和要求，项目的开支符合项目预算批复和合同规定的用途，没有截留、挤占、挪用、虚列支出等情况。</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（2）严格执行预算和政府采购规定，严格执行合同约定价款，严格执行专款专用。</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10" w:name="_Toc1210"/>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2.项目实施</w:t>
      </w:r>
      <w:bookmarkEnd w:id="10"/>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项目在实施过程中，都做到认真组织、规范计划、严格流程管理、验收达标。</w:t>
      </w:r>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1" w:name="_Toc6604"/>
      <w:r>
        <w:rPr>
          <w:rFonts w:hint="eastAsia" w:ascii="楷体" w:hAnsi="楷体" w:eastAsia="楷体" w:cs="楷体"/>
          <w:b/>
          <w:bCs/>
          <w:i w:val="0"/>
          <w:iCs w:val="0"/>
          <w:caps w:val="0"/>
          <w:color w:val="000000"/>
          <w:spacing w:val="0"/>
          <w:kern w:val="0"/>
          <w:sz w:val="32"/>
          <w:szCs w:val="32"/>
          <w:shd w:val="clear" w:fill="FFFFFF"/>
          <w:lang w:val="en-US" w:eastAsia="zh-CN" w:bidi="ar"/>
        </w:rPr>
        <w:t>(三)项目产出情况</w:t>
      </w:r>
      <w:bookmarkEnd w:id="11"/>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12" w:name="_Toc20742"/>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1.产出数量</w:t>
      </w:r>
      <w:bookmarkEnd w:id="12"/>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本年共完成纸质档案数字化加工240万A4标准页，超过原有计划目标的200万A4标准页。</w:t>
      </w:r>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13" w:name="_Toc5372"/>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2.产出质量</w:t>
      </w:r>
      <w:bookmarkEnd w:id="13"/>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现场监控系统自2024年3月启动时同步建成并正常投入使用。</w:t>
      </w:r>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从纸质档案扫描、目录其一一对应性等初步抽样统计来看，馆藏档案数字化建设质量达标率为98.9%，低于100%约1.1个百分点。</w:t>
      </w:r>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SAS档案管理系统及服务器架设硬件及网络已完成初步部署，在完成挂接后即可使用。</w:t>
      </w:r>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14" w:name="_Toc25948"/>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3.产出成本</w:t>
      </w:r>
      <w:bookmarkEnd w:id="14"/>
      <w:bookmarkStart w:id="15" w:name="_Toc21477"/>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全年支出费用成本为50.00万元，与全年预算数50.00万元持平。</w:t>
      </w:r>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4.产出时效</w:t>
      </w:r>
      <w:bookmarkEnd w:id="15"/>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2"/>
        <w:rPr>
          <w:rFonts w:hint="default"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馆藏档案数字化建设（一期）2024年度目标工作任务都已在2024年12月31日前完成。</w:t>
      </w:r>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16" w:name="_Toc3072"/>
      <w:bookmarkStart w:id="17" w:name="_Toc12690"/>
      <w:r>
        <w:rPr>
          <w:rFonts w:hint="eastAsia" w:ascii="楷体" w:hAnsi="楷体" w:eastAsia="楷体" w:cs="楷体"/>
          <w:b/>
          <w:bCs/>
          <w:i w:val="0"/>
          <w:iCs w:val="0"/>
          <w:caps w:val="0"/>
          <w:color w:val="000000"/>
          <w:spacing w:val="0"/>
          <w:kern w:val="0"/>
          <w:sz w:val="32"/>
          <w:szCs w:val="32"/>
          <w:shd w:val="clear" w:fill="FFFFFF"/>
          <w:lang w:val="en-US" w:eastAsia="zh-CN" w:bidi="ar"/>
        </w:rPr>
        <w:t>(四)项目效益情况</w:t>
      </w:r>
      <w:bookmarkEnd w:id="16"/>
      <w:bookmarkEnd w:id="17"/>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1.项目预期目标完成程度</w:t>
      </w:r>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本项目为阶段性项目，于2024年3月中旬正式启动，根据合同约定，建设周期为1年，经2024年底初步验收综合认定2024年度内的预期目标全部完成，即累计完成了280万页纸质档案的整理、240余万页的扫描与图片处理、33万条的目录输入。</w:t>
      </w:r>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2.项目实施对经济和社会的影响</w:t>
      </w:r>
    </w:p>
    <w:p>
      <w:pPr>
        <w:pStyle w:val="4"/>
        <w:keepNext w:val="0"/>
        <w:keepLines w:val="0"/>
        <w:pageBreakBefore w:val="0"/>
        <w:widowControl w:val="0"/>
        <w:kinsoku/>
        <w:wordWrap/>
        <w:overflowPunct/>
        <w:topLinePunct w:val="0"/>
        <w:autoSpaceDE/>
        <w:autoSpaceDN/>
        <w:bidi w:val="0"/>
        <w:adjustRightInd/>
        <w:snapToGrid w:val="0"/>
        <w:spacing w:beforeLines="0" w:afterLines="0" w:line="520" w:lineRule="exact"/>
        <w:ind w:left="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为打造“智慧档案”，全面推进融入数字经济、数字社会、数字政府建设，推进档案资源共享、实现全省各级综合档案馆档案信息资源互联互通，推进档案信息资源跨部门、跨层级、跨区域共享利用，对接全国档案查询利用服务平台，实现与全国其他省区市档案查询一网通办，扩大“一网查档、异地出证”惠民服务覆盖面，切实服务机关和人民群众，奠下了可靠基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0"/>
        <w:rPr>
          <w:rFonts w:hint="eastAsia" w:ascii="黑体" w:hAnsi="黑体" w:eastAsia="黑体" w:cs="黑体"/>
          <w:i w:val="0"/>
          <w:iCs w:val="0"/>
          <w:caps w:val="0"/>
          <w:color w:val="000000"/>
          <w:spacing w:val="0"/>
          <w:kern w:val="0"/>
          <w:sz w:val="32"/>
          <w:szCs w:val="32"/>
          <w:shd w:val="clear" w:fill="FFFFFF"/>
          <w:lang w:val="en-US" w:eastAsia="zh-CN" w:bidi="ar"/>
        </w:rPr>
      </w:pPr>
      <w:bookmarkStart w:id="18" w:name="_Toc390267055"/>
      <w:bookmarkStart w:id="19" w:name="_Toc390096931"/>
      <w:bookmarkStart w:id="20" w:name="_Toc12414"/>
      <w:bookmarkStart w:id="21" w:name="_Toc24241"/>
      <w:r>
        <w:rPr>
          <w:rFonts w:hint="eastAsia" w:ascii="黑体" w:hAnsi="黑体" w:eastAsia="黑体" w:cs="黑体"/>
          <w:i w:val="0"/>
          <w:iCs w:val="0"/>
          <w:caps w:val="0"/>
          <w:color w:val="000000"/>
          <w:spacing w:val="0"/>
          <w:kern w:val="0"/>
          <w:sz w:val="32"/>
          <w:szCs w:val="32"/>
          <w:shd w:val="clear" w:fill="FFFFFF"/>
          <w:lang w:val="en-US" w:eastAsia="zh-CN" w:bidi="ar"/>
        </w:rPr>
        <w:t>五、项目主要经验、存在的问题</w:t>
      </w:r>
      <w:bookmarkEnd w:id="18"/>
      <w:bookmarkEnd w:id="19"/>
      <w:r>
        <w:rPr>
          <w:rFonts w:hint="eastAsia" w:ascii="黑体" w:hAnsi="黑体" w:eastAsia="黑体" w:cs="黑体"/>
          <w:i w:val="0"/>
          <w:iCs w:val="0"/>
          <w:caps w:val="0"/>
          <w:color w:val="000000"/>
          <w:spacing w:val="0"/>
          <w:kern w:val="0"/>
          <w:sz w:val="32"/>
          <w:szCs w:val="32"/>
          <w:shd w:val="clear" w:fill="FFFFFF"/>
          <w:lang w:val="en-US" w:eastAsia="zh-CN" w:bidi="ar"/>
        </w:rPr>
        <w:t>及建议</w:t>
      </w:r>
      <w:bookmarkEnd w:id="20"/>
      <w:bookmarkEnd w:id="21"/>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22" w:name="_Toc23434"/>
      <w:bookmarkStart w:id="23" w:name="_Toc5316"/>
      <w:r>
        <w:rPr>
          <w:rFonts w:hint="eastAsia" w:ascii="楷体" w:hAnsi="楷体" w:eastAsia="楷体" w:cs="楷体"/>
          <w:b/>
          <w:bCs/>
          <w:i w:val="0"/>
          <w:iCs w:val="0"/>
          <w:caps w:val="0"/>
          <w:color w:val="000000"/>
          <w:spacing w:val="0"/>
          <w:kern w:val="0"/>
          <w:sz w:val="32"/>
          <w:szCs w:val="32"/>
          <w:shd w:val="clear" w:fill="FFFFFF"/>
          <w:lang w:val="en-US" w:eastAsia="zh-CN" w:bidi="ar"/>
        </w:rPr>
        <w:t>（一）项目主要经验</w:t>
      </w:r>
      <w:bookmarkEnd w:id="22"/>
      <w:r>
        <w:rPr>
          <w:rFonts w:hint="eastAsia" w:ascii="楷体" w:hAnsi="楷体" w:eastAsia="楷体" w:cs="楷体"/>
          <w:b/>
          <w:bCs/>
          <w:i w:val="0"/>
          <w:iCs w:val="0"/>
          <w:caps w:val="0"/>
          <w:color w:val="000000"/>
          <w:spacing w:val="0"/>
          <w:kern w:val="0"/>
          <w:sz w:val="32"/>
          <w:szCs w:val="32"/>
          <w:shd w:val="clear" w:fill="FFFFFF"/>
          <w:lang w:val="en-US" w:eastAsia="zh-CN" w:bidi="ar"/>
        </w:rPr>
        <w:t>及做法</w:t>
      </w:r>
      <w:bookmarkEnd w:id="23"/>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default" w:ascii="楷体" w:hAnsi="楷体" w:eastAsia="楷体" w:cs="楷体"/>
          <w:b/>
          <w:bCs/>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我馆严格按财务制度对专项资金的管理模式管理，成立有沅陵县档案馆专项资金领导小组，制定有沅陵县档案馆专项资金管理使用制度、工作措施（方案、规划等），严格执行专项资金使用范围，严格执行专项资金支出财务规定。实际工作中，主要是实行馆长全面负责、集体管理，分管财务的同志对资金使用具体负责，分管档案管理室的同志对实体档案具体负责，分管信息室的同志对数字化加工电子文件具体负责。如加工的纸质档案调取、回库及相关纸质档案盒号调整、调纠工作由分管档案馆业务的同志牵头，由档案管理室相关工作人员具体实施操办，报馆班子研究同意后予以实施，并明确从项目启动到完成由专人负责；又如数字化初步验收主要由馆长牵头，分管信息化领导具体抓，集体决策并由相关工作人员具体执行，并依据相关规定牵头协调财政、审计、纪检等县直单位进行相应管理。</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2" w:firstLineChars="2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24" w:name="_Toc2597"/>
      <w:bookmarkStart w:id="25" w:name="_Toc6772"/>
      <w:r>
        <w:rPr>
          <w:rFonts w:hint="eastAsia" w:ascii="楷体" w:hAnsi="楷体" w:eastAsia="楷体" w:cs="楷体"/>
          <w:b/>
          <w:bCs/>
          <w:i w:val="0"/>
          <w:iCs w:val="0"/>
          <w:caps w:val="0"/>
          <w:color w:val="000000"/>
          <w:spacing w:val="0"/>
          <w:kern w:val="0"/>
          <w:sz w:val="32"/>
          <w:szCs w:val="32"/>
          <w:shd w:val="clear" w:fill="FFFFFF"/>
          <w:lang w:val="en-US" w:eastAsia="zh-CN" w:bidi="ar"/>
        </w:rPr>
        <w:t>（二）存在的问题</w:t>
      </w:r>
      <w:bookmarkEnd w:id="24"/>
      <w:bookmarkEnd w:id="25"/>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1"/>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1.对项目质量把关主要是数字化加工成果中目录与原文扫描件一一对应，图像文件应符合相关行业标准要求，在初步验收中，文件级目录与图像对应对确率、完整率未能达到100%，仅为99.80%左右，需要督促乙方加强质检，总验收综合质量率要达到99.99%以上。</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2.对项目实施的复杂程度、难度及相应时间预判不够，如纸质档案原件进行有效修复需要较大的场地，以致明清、民国档案未能在年内进行修复。</w:t>
      </w:r>
    </w:p>
    <w:p>
      <w:pPr>
        <w:keepNext w:val="0"/>
        <w:keepLines w:val="0"/>
        <w:pageBreakBefore w:val="0"/>
        <w:widowControl w:val="0"/>
        <w:kinsoku/>
        <w:wordWrap/>
        <w:overflowPunct/>
        <w:topLinePunct w:val="0"/>
        <w:autoSpaceDE/>
        <w:autoSpaceDN/>
        <w:bidi w:val="0"/>
        <w:adjustRightInd/>
        <w:snapToGrid w:val="0"/>
        <w:spacing w:line="520" w:lineRule="exact"/>
        <w:ind w:firstLine="642" w:firstLineChars="200"/>
        <w:textAlignment w:val="auto"/>
        <w:outlineLvl w:val="1"/>
        <w:rPr>
          <w:rFonts w:hint="eastAsia" w:ascii="楷体" w:hAnsi="楷体" w:eastAsia="楷体" w:cs="楷体"/>
          <w:b/>
          <w:bCs/>
          <w:i w:val="0"/>
          <w:iCs w:val="0"/>
          <w:caps w:val="0"/>
          <w:color w:val="000000"/>
          <w:spacing w:val="0"/>
          <w:kern w:val="0"/>
          <w:sz w:val="32"/>
          <w:szCs w:val="32"/>
          <w:shd w:val="clear" w:fill="FFFFFF"/>
          <w:lang w:val="en-US" w:eastAsia="zh-CN" w:bidi="ar"/>
        </w:rPr>
      </w:pPr>
      <w:bookmarkStart w:id="26" w:name="_Toc29278"/>
      <w:bookmarkStart w:id="27" w:name="_Toc16271"/>
      <w:r>
        <w:rPr>
          <w:rFonts w:hint="eastAsia" w:ascii="楷体" w:hAnsi="楷体" w:eastAsia="楷体" w:cs="楷体"/>
          <w:b/>
          <w:bCs/>
          <w:i w:val="0"/>
          <w:iCs w:val="0"/>
          <w:caps w:val="0"/>
          <w:color w:val="000000"/>
          <w:spacing w:val="0"/>
          <w:kern w:val="0"/>
          <w:sz w:val="32"/>
          <w:szCs w:val="32"/>
          <w:shd w:val="clear" w:fill="FFFFFF"/>
          <w:lang w:val="en-US" w:eastAsia="zh-CN" w:bidi="ar"/>
        </w:rPr>
        <w:t>（三）有关建议</w:t>
      </w:r>
      <w:bookmarkEnd w:id="26"/>
      <w:bookmarkEnd w:id="27"/>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outlineLvl w:val="1"/>
        <w:rPr>
          <w:rFonts w:hint="default" w:ascii="楷体" w:hAnsi="楷体" w:eastAsia="楷体" w:cs="楷体"/>
          <w:b/>
          <w:bCs/>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B42DA"/>
    <w:rsid w:val="0F0EACAD"/>
    <w:rsid w:val="17BB92E6"/>
    <w:rsid w:val="2795BA07"/>
    <w:rsid w:val="2BDFBDEC"/>
    <w:rsid w:val="33FF2832"/>
    <w:rsid w:val="37BF126C"/>
    <w:rsid w:val="37FF6D72"/>
    <w:rsid w:val="3B171AFC"/>
    <w:rsid w:val="3DCDA383"/>
    <w:rsid w:val="3EAB0813"/>
    <w:rsid w:val="3EEA2F37"/>
    <w:rsid w:val="3FC59623"/>
    <w:rsid w:val="47C77592"/>
    <w:rsid w:val="533805DE"/>
    <w:rsid w:val="57EFCB95"/>
    <w:rsid w:val="57FF4DB9"/>
    <w:rsid w:val="5AF7AFDB"/>
    <w:rsid w:val="5EDF51F4"/>
    <w:rsid w:val="656D3B5B"/>
    <w:rsid w:val="6B9ED765"/>
    <w:rsid w:val="6FBBC15E"/>
    <w:rsid w:val="6FFBFD34"/>
    <w:rsid w:val="73EF2C66"/>
    <w:rsid w:val="75CD10DA"/>
    <w:rsid w:val="778B8954"/>
    <w:rsid w:val="77BF068B"/>
    <w:rsid w:val="77FF841F"/>
    <w:rsid w:val="79FF20E8"/>
    <w:rsid w:val="7AD72A98"/>
    <w:rsid w:val="7CE65095"/>
    <w:rsid w:val="7CFEB54E"/>
    <w:rsid w:val="7E6A8A0A"/>
    <w:rsid w:val="7E77ADE9"/>
    <w:rsid w:val="7EBD3F3A"/>
    <w:rsid w:val="7EFE2947"/>
    <w:rsid w:val="7F7788F4"/>
    <w:rsid w:val="7FFDA564"/>
    <w:rsid w:val="ABCFAD7A"/>
    <w:rsid w:val="ADDB3A37"/>
    <w:rsid w:val="AF6DDC39"/>
    <w:rsid w:val="AFDCBB0D"/>
    <w:rsid w:val="B57E0205"/>
    <w:rsid w:val="B7BB2653"/>
    <w:rsid w:val="B7BD0252"/>
    <w:rsid w:val="BAED1BDB"/>
    <w:rsid w:val="BBBDF210"/>
    <w:rsid w:val="BDCFD33D"/>
    <w:rsid w:val="BF1E3DB6"/>
    <w:rsid w:val="BFDFC927"/>
    <w:rsid w:val="C947395D"/>
    <w:rsid w:val="CDE7E0EE"/>
    <w:rsid w:val="DF7F2200"/>
    <w:rsid w:val="EADF6F53"/>
    <w:rsid w:val="EF6D0433"/>
    <w:rsid w:val="F1DF4D15"/>
    <w:rsid w:val="F7BB037C"/>
    <w:rsid w:val="F7CFA7E0"/>
    <w:rsid w:val="F7EF1FE0"/>
    <w:rsid w:val="F7F793F6"/>
    <w:rsid w:val="F99F8AC5"/>
    <w:rsid w:val="FBDFC970"/>
    <w:rsid w:val="FBEEAE5D"/>
    <w:rsid w:val="FD5D5926"/>
    <w:rsid w:val="FD6F8E57"/>
    <w:rsid w:val="FD959CE2"/>
    <w:rsid w:val="FEF75145"/>
    <w:rsid w:val="FFE5687D"/>
    <w:rsid w:val="FFFE9B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beforeLines="0" w:afterLines="0"/>
      <w:ind w:firstLine="640" w:firstLineChars="200"/>
    </w:pPr>
    <w:rPr>
      <w:rFonts w:hint="default"/>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nhideWhenUsed/>
    <w:qFormat/>
    <w:uiPriority w:val="99"/>
    <w:pPr>
      <w:spacing w:beforeLines="0" w:afterLines="0"/>
      <w:ind w:firstLine="420"/>
    </w:pPr>
    <w:rPr>
      <w:rFonts w:hint="default"/>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admin123</cp:lastModifiedBy>
  <dcterms:modified xsi:type="dcterms:W3CDTF">2025-05-27T16:58:04Z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