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4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附件7</w:t>
      </w:r>
    </w:p>
    <w:p w14:paraId="5C4B2E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非遗</w:t>
      </w:r>
      <w:r>
        <w:rPr>
          <w:rFonts w:hint="eastAsia" w:ascii="方正小标宋_GBK" w:hAnsi="方正小标宋_GBK" w:eastAsia="方正小标宋_GBK" w:cs="方正小标宋_GBK"/>
          <w:i w:val="0"/>
          <w:iCs w:val="0"/>
          <w:caps w:val="0"/>
          <w:color w:val="000000"/>
          <w:spacing w:val="0"/>
          <w:sz w:val="44"/>
          <w:szCs w:val="44"/>
          <w:shd w:val="clear" w:fill="FFFFFF"/>
        </w:rPr>
        <w:t>项目支出绩效自评报告</w:t>
      </w:r>
    </w:p>
    <w:p w14:paraId="6AFF0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14:paraId="479EC3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14:paraId="02199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r>
        <w:rPr>
          <w:rFonts w:hint="eastAsia" w:ascii="仿宋_GB2312" w:eastAsia="仿宋_GB2312" w:cs="仿宋_GB2312"/>
          <w:i w:val="0"/>
          <w:iCs w:val="0"/>
          <w:caps w:val="0"/>
          <w:color w:val="000000"/>
          <w:spacing w:val="0"/>
          <w:kern w:val="0"/>
          <w:sz w:val="32"/>
          <w:szCs w:val="32"/>
          <w:shd w:val="clear" w:fill="FFFFFF"/>
          <w:lang w:val="en-US" w:eastAsia="zh-CN" w:bidi="ar"/>
        </w:rPr>
        <w:t>： 根据上级补助资金文件制定年初预算。</w:t>
      </w:r>
    </w:p>
    <w:p w14:paraId="03128D5F">
      <w:pPr>
        <w:pStyle w:val="10"/>
        <w:spacing w:line="360" w:lineRule="auto"/>
        <w:ind w:firstLine="640" w:firstLineChars="200"/>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2.项目主要内容：  完成非遗辰州剪纸、碣滩茶制作技艺和傩戏（沅陵辰州傩戏）。完成项目资金拨付。</w:t>
      </w:r>
    </w:p>
    <w:p w14:paraId="2BA606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项目组织管理机构</w:t>
      </w:r>
      <w:r>
        <w:rPr>
          <w:rFonts w:hint="eastAsia" w:ascii="仿宋_GB2312" w:eastAsia="仿宋_GB2312" w:cs="仿宋_GB2312"/>
          <w:i w:val="0"/>
          <w:iCs w:val="0"/>
          <w:caps w:val="0"/>
          <w:color w:val="000000"/>
          <w:spacing w:val="0"/>
          <w:kern w:val="0"/>
          <w:sz w:val="32"/>
          <w:szCs w:val="32"/>
          <w:shd w:val="clear" w:fill="FFFFFF"/>
          <w:lang w:val="en-US" w:eastAsia="zh-CN" w:bidi="ar"/>
        </w:rPr>
        <w:t>：  沅陵县文化遗产保护中心（沅陵县博物馆、沅陵县考古研究中心）</w:t>
      </w:r>
    </w:p>
    <w:p w14:paraId="7FD3FF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14:paraId="657DE2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0"/>
    </w:p>
    <w:p w14:paraId="3C742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r>
        <w:rPr>
          <w:rFonts w:hint="eastAsia" w:ascii="仿宋_GB2312" w:eastAsia="仿宋_GB2312" w:cs="仿宋_GB2312"/>
          <w:i w:val="0"/>
          <w:iCs w:val="0"/>
          <w:caps w:val="0"/>
          <w:color w:val="000000"/>
          <w:spacing w:val="0"/>
          <w:kern w:val="0"/>
          <w:sz w:val="32"/>
          <w:szCs w:val="32"/>
          <w:shd w:val="clear" w:fill="FFFFFF"/>
          <w:lang w:val="en-US" w:eastAsia="zh-CN" w:bidi="ar"/>
        </w:rPr>
        <w:t>：资金来源为财政预算内一般公共预算资金，拨付流程按年初预算金额用款单位提交资金申报用款计划，财政局归口股室审核，分管领导审核，财政国库审批用款计划，用款计划进入支付流程，用款单位录入支付额度，国库审核，发送银行，代理银行确认付款。</w:t>
      </w:r>
    </w:p>
    <w:p w14:paraId="5F16C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r>
        <w:rPr>
          <w:rFonts w:hint="eastAsia" w:ascii="仿宋_GB2312" w:eastAsia="仿宋_GB2312" w:cs="仿宋_GB2312"/>
          <w:i w:val="0"/>
          <w:iCs w:val="0"/>
          <w:caps w:val="0"/>
          <w:color w:val="000000"/>
          <w:spacing w:val="0"/>
          <w:kern w:val="0"/>
          <w:sz w:val="32"/>
          <w:szCs w:val="32"/>
          <w:shd w:val="clear" w:fill="FFFFFF"/>
          <w:lang w:val="en-US" w:eastAsia="zh-CN" w:bidi="ar"/>
        </w:rPr>
        <w:t>：2024年非遗经费29.5万元已到位，到位率100%。已支付29.5万元。</w:t>
      </w:r>
    </w:p>
    <w:p w14:paraId="4E8B26AC">
      <w:pPr>
        <w:pStyle w:val="10"/>
        <w:spacing w:line="360" w:lineRule="auto"/>
        <w:ind w:firstLine="640" w:firstLineChars="200"/>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）资金使用情况</w:t>
      </w:r>
      <w:r>
        <w:rPr>
          <w:rFonts w:hint="eastAsia" w:ascii="仿宋_GB2312" w:eastAsia="仿宋_GB2312" w:cs="仿宋_GB2312"/>
          <w:i w:val="0"/>
          <w:iCs w:val="0"/>
          <w:caps w:val="0"/>
          <w:color w:val="000000"/>
          <w:spacing w:val="0"/>
          <w:kern w:val="0"/>
          <w:sz w:val="32"/>
          <w:szCs w:val="32"/>
          <w:shd w:val="clear" w:fill="FFFFFF"/>
          <w:lang w:val="en-US" w:eastAsia="zh-CN" w:bidi="ar"/>
        </w:rPr>
        <w:t>：主要用于</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非遗辰州剪纸、碣滩茶制作技艺和傩戏（沅陵辰州傩戏）。活动开展及传承人经费。</w:t>
      </w:r>
    </w:p>
    <w:p w14:paraId="5D6C1AAF">
      <w:pPr>
        <w:spacing w:line="520" w:lineRule="exact"/>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w:t>
      </w:r>
    </w:p>
    <w:p w14:paraId="6EA04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p>
    <w:p w14:paraId="7C82F7BB">
      <w:pPr>
        <w:ind w:firstLine="640" w:firstLineChars="200"/>
        <w:rPr>
          <w:rFonts w:hint="eastAsia" w:ascii="仿宋" w:hAnsi="仿宋" w:eastAsia="仿宋" w:cs="仿宋"/>
          <w:bCs/>
          <w:sz w:val="32"/>
          <w:szCs w:val="32"/>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4</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）资金管理制度及执行情况</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Cs/>
          <w:sz w:val="32"/>
          <w:szCs w:val="32"/>
        </w:rPr>
        <w:t>凡拨付到我单位的专项资金，我们均做到专款专用，绝不挤占不挪用，专项资金由财政拨付到</w:t>
      </w:r>
      <w:r>
        <w:rPr>
          <w:rFonts w:hint="eastAsia" w:ascii="仿宋" w:hAnsi="仿宋" w:eastAsia="仿宋" w:cs="仿宋"/>
          <w:bCs/>
          <w:sz w:val="32"/>
          <w:szCs w:val="32"/>
          <w:lang w:eastAsia="zh-CN"/>
        </w:rPr>
        <w:t>沅陵县文化遗产保护中心（</w:t>
      </w:r>
      <w:r>
        <w:rPr>
          <w:rFonts w:hint="eastAsia" w:ascii="仿宋" w:hAnsi="仿宋" w:eastAsia="仿宋" w:cs="仿宋"/>
          <w:bCs/>
          <w:sz w:val="32"/>
          <w:szCs w:val="32"/>
          <w:lang w:val="en-US" w:eastAsia="zh-CN"/>
        </w:rPr>
        <w:t>沅陵</w:t>
      </w:r>
      <w:r>
        <w:rPr>
          <w:rFonts w:hint="eastAsia" w:ascii="仿宋" w:hAnsi="仿宋" w:eastAsia="仿宋" w:cs="仿宋"/>
          <w:bCs/>
          <w:sz w:val="32"/>
          <w:szCs w:val="32"/>
          <w:lang w:eastAsia="zh-CN"/>
        </w:rPr>
        <w:t>县博物馆、</w:t>
      </w:r>
      <w:r>
        <w:rPr>
          <w:rFonts w:hint="eastAsia" w:ascii="仿宋" w:hAnsi="仿宋" w:eastAsia="仿宋" w:cs="仿宋"/>
          <w:bCs/>
          <w:sz w:val="32"/>
          <w:szCs w:val="32"/>
          <w:lang w:val="en-US" w:eastAsia="zh-CN"/>
        </w:rPr>
        <w:t>沅陵县考古研究中心</w:t>
      </w:r>
      <w:r>
        <w:rPr>
          <w:rFonts w:hint="eastAsia" w:ascii="仿宋" w:hAnsi="仿宋" w:eastAsia="仿宋" w:cs="仿宋"/>
          <w:bCs/>
          <w:sz w:val="32"/>
          <w:szCs w:val="32"/>
          <w:lang w:eastAsia="zh-CN"/>
        </w:rPr>
        <w:t>）</w:t>
      </w:r>
      <w:r>
        <w:rPr>
          <w:rFonts w:hint="eastAsia" w:ascii="仿宋" w:hAnsi="仿宋" w:eastAsia="仿宋" w:cs="仿宋"/>
          <w:bCs/>
          <w:sz w:val="32"/>
          <w:szCs w:val="32"/>
        </w:rPr>
        <w:t>后，均按合同约定，由单位分管财务领导签字后进行支付。该项目中我们严格按照财务有关纪律和程序要求进行资金管理，达到了预期目的。</w:t>
      </w:r>
    </w:p>
    <w:p w14:paraId="59476342">
      <w:pPr>
        <w:spacing w:line="520" w:lineRule="exact"/>
        <w:ind w:firstLine="633" w:firstLineChars="198"/>
        <w:rPr>
          <w:rFonts w:hint="eastAsia" w:ascii="仿宋" w:hAnsi="仿宋" w:eastAsia="仿宋" w:cs="仿宋"/>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b w:val="0"/>
          <w:bCs w:val="0"/>
          <w:sz w:val="32"/>
          <w:szCs w:val="32"/>
        </w:rPr>
        <w:t>1</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sz w:val="32"/>
          <w:szCs w:val="32"/>
        </w:rPr>
        <w:t>项目组织情况分析</w:t>
      </w:r>
    </w:p>
    <w:p w14:paraId="56110C99">
      <w:pPr>
        <w:ind w:firstLine="787" w:firstLineChars="246"/>
        <w:rPr>
          <w:rFonts w:hint="eastAsia" w:ascii="仿宋" w:hAnsi="仿宋" w:eastAsia="仿宋" w:cs="仿宋"/>
          <w:bCs/>
          <w:sz w:val="32"/>
          <w:szCs w:val="32"/>
          <w:lang w:eastAsia="zh-CN"/>
        </w:rPr>
      </w:pPr>
      <w:r>
        <w:rPr>
          <w:rFonts w:hint="eastAsia" w:ascii="仿宋" w:hAnsi="仿宋" w:eastAsia="仿宋" w:cs="仿宋"/>
          <w:bCs/>
          <w:sz w:val="32"/>
          <w:szCs w:val="32"/>
        </w:rPr>
        <w:t>该项目中我们按照</w:t>
      </w:r>
      <w:r>
        <w:rPr>
          <w:rFonts w:hint="eastAsia" w:ascii="仿宋" w:hAnsi="仿宋" w:eastAsia="仿宋" w:cs="仿宋"/>
          <w:bCs/>
          <w:sz w:val="32"/>
          <w:szCs w:val="32"/>
          <w:lang w:eastAsia="zh-CN"/>
        </w:rPr>
        <w:t>政府采购</w:t>
      </w:r>
      <w:r>
        <w:rPr>
          <w:rFonts w:hint="eastAsia" w:ascii="仿宋" w:hAnsi="仿宋" w:eastAsia="仿宋" w:cs="仿宋"/>
          <w:bCs/>
          <w:sz w:val="32"/>
          <w:szCs w:val="32"/>
        </w:rPr>
        <w:t>法律规定方式，</w:t>
      </w:r>
      <w:r>
        <w:rPr>
          <w:rFonts w:hint="eastAsia" w:ascii="仿宋" w:hAnsi="仿宋" w:eastAsia="仿宋" w:cs="仿宋"/>
          <w:bCs/>
          <w:sz w:val="32"/>
          <w:szCs w:val="32"/>
          <w:lang w:eastAsia="zh-CN"/>
        </w:rPr>
        <w:t>对</w:t>
      </w:r>
      <w:r>
        <w:rPr>
          <w:rFonts w:hint="eastAsia" w:ascii="仿宋" w:hAnsi="仿宋" w:eastAsia="仿宋" w:cs="仿宋"/>
          <w:bCs/>
          <w:sz w:val="32"/>
          <w:szCs w:val="32"/>
          <w:lang w:val="en-US" w:eastAsia="zh-CN"/>
        </w:rPr>
        <w:t>文物</w:t>
      </w:r>
      <w:r>
        <w:rPr>
          <w:rFonts w:hint="eastAsia" w:ascii="仿宋" w:hAnsi="仿宋" w:eastAsia="仿宋" w:cs="仿宋"/>
          <w:bCs/>
          <w:sz w:val="32"/>
          <w:szCs w:val="32"/>
          <w:lang w:eastAsia="zh-CN"/>
        </w:rPr>
        <w:t>保护项目中需要进行</w:t>
      </w:r>
      <w:r>
        <w:rPr>
          <w:rFonts w:hint="eastAsia" w:ascii="仿宋" w:hAnsi="仿宋" w:eastAsia="仿宋" w:cs="仿宋"/>
          <w:bCs/>
          <w:sz w:val="32"/>
          <w:szCs w:val="32"/>
          <w:lang w:val="en-US" w:eastAsia="zh-CN"/>
        </w:rPr>
        <w:t>工程</w:t>
      </w:r>
      <w:r>
        <w:rPr>
          <w:rFonts w:hint="eastAsia" w:ascii="仿宋" w:hAnsi="仿宋" w:eastAsia="仿宋" w:cs="仿宋"/>
          <w:bCs/>
          <w:sz w:val="32"/>
          <w:szCs w:val="32"/>
          <w:lang w:eastAsia="zh-CN"/>
        </w:rPr>
        <w:t>采购的项目进行采购。</w:t>
      </w:r>
    </w:p>
    <w:p w14:paraId="212AE1E5">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项目管理情况分析</w:t>
      </w:r>
    </w:p>
    <w:p w14:paraId="579C52D8">
      <w:pPr>
        <w:ind w:firstLine="627" w:firstLineChars="196"/>
        <w:rPr>
          <w:rFonts w:hint="eastAsia" w:ascii="仿宋" w:hAnsi="仿宋" w:eastAsia="仿宋" w:cs="仿宋"/>
          <w:bCs/>
          <w:sz w:val="32"/>
          <w:szCs w:val="32"/>
        </w:rPr>
      </w:pPr>
      <w:r>
        <w:rPr>
          <w:rFonts w:hint="eastAsia" w:ascii="仿宋" w:hAnsi="仿宋" w:eastAsia="仿宋" w:cs="仿宋"/>
          <w:bCs/>
          <w:sz w:val="32"/>
          <w:szCs w:val="32"/>
        </w:rPr>
        <w:t>按照专项资金项目管理制度，经常性自查，派驻工程管理人员进行监督。</w:t>
      </w:r>
    </w:p>
    <w:p w14:paraId="5A9E8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14:paraId="6A01C2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完成非遗辰州剪纸、碣滩茶制作技艺和傩戏（沅陵辰州傩戏）。完成项目资金拨付。</w:t>
      </w:r>
    </w:p>
    <w:p w14:paraId="65E50672">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2.绩效指标</w:t>
      </w: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提升旅游品质促进经济发展</w:t>
      </w: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促进社会和谐与凝聚力。</w:t>
      </w:r>
    </w:p>
    <w:p w14:paraId="698596FB">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通过对非遗保护、维护生态风貌提高生态效益。</w:t>
      </w:r>
    </w:p>
    <w:p w14:paraId="2AC40E3E">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（4）可持续影响。</w:t>
      </w:r>
      <w:r>
        <w:rPr>
          <w:rFonts w:hint="eastAsia" w:ascii="仿宋" w:hAnsi="仿宋" w:eastAsia="仿宋" w:cs="仿宋"/>
          <w:sz w:val="32"/>
          <w:szCs w:val="32"/>
          <w:lang w:val="en-US" w:eastAsia="zh-CN"/>
        </w:rPr>
        <w:t>提升国家文化软实力</w:t>
      </w:r>
    </w:p>
    <w:p w14:paraId="3280C780">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0" w:firstLineChars="1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二、绩效评价工作情况</w:t>
      </w:r>
    </w:p>
    <w:p w14:paraId="7CFFE35B">
      <w:pPr>
        <w:ind w:firstLine="643" w:firstLineChars="200"/>
        <w:jc w:val="left"/>
        <w:rPr>
          <w:rFonts w:hint="eastAsia" w:ascii="仿宋" w:hAnsi="仿宋" w:eastAsia="仿宋" w:cs="仿宋"/>
          <w:sz w:val="32"/>
          <w:szCs w:val="32"/>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（一）绩效评价目的  </w:t>
      </w:r>
      <w:r>
        <w:rPr>
          <w:rFonts w:hint="eastAsia" w:ascii="方正仿宋_GB2312" w:hAnsi="方正仿宋_GB2312" w:eastAsia="方正仿宋_GB2312" w:cs="方正仿宋_GB2312"/>
          <w:sz w:val="32"/>
          <w:szCs w:val="32"/>
          <w:lang w:eastAsia="zh-CN"/>
        </w:rPr>
        <w:t>在于强化绩效理念，提高部门履职能力。</w:t>
      </w:r>
    </w:p>
    <w:p w14:paraId="12D9D0D5">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方正仿宋_GB2312" w:hAnsi="方正仿宋_GB2312" w:eastAsia="方正仿宋_GB2312" w:cs="方正仿宋_GB2312"/>
          <w:sz w:val="32"/>
          <w:szCs w:val="32"/>
          <w:lang w:eastAsia="zh-CN"/>
        </w:rPr>
      </w:pPr>
      <w:bookmarkStart w:id="1" w:name="_Toc11844"/>
      <w:r>
        <w:rPr>
          <w:rFonts w:hint="eastAsia" w:ascii="楷体" w:hAnsi="楷体" w:eastAsia="楷体" w:cs="楷体"/>
          <w:b/>
          <w:bCs/>
          <w:i w:val="0"/>
          <w:iCs w:val="0"/>
          <w:caps w:val="0"/>
          <w:color w:val="000000"/>
          <w:spacing w:val="0"/>
          <w:kern w:val="0"/>
          <w:sz w:val="32"/>
          <w:szCs w:val="32"/>
          <w:shd w:val="clear" w:fill="FFFFFF"/>
          <w:lang w:val="en-US" w:eastAsia="zh-CN" w:bidi="ar"/>
        </w:rPr>
        <w:t>（二）被评价单位、绩效评价范围与时段</w:t>
      </w:r>
      <w:bookmarkEnd w:id="1"/>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被评价单位为沅陵县文化遗产保护中心（沅陵县博物馆、沅陵县考古研究中心），绩效评价范围与时段为</w:t>
      </w:r>
      <w:r>
        <w:rPr>
          <w:rFonts w:hint="eastAsia" w:ascii="方正仿宋_GB2312" w:hAnsi="方正仿宋_GB2312" w:eastAsia="方正仿宋_GB2312" w:cs="方正仿宋_GB2312"/>
          <w:sz w:val="32"/>
          <w:szCs w:val="32"/>
          <w:lang w:eastAsia="zh-CN"/>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lang w:eastAsia="zh-CN"/>
        </w:rPr>
        <w:t>年度使用的所有财政性资金（包括上级和本级）。</w:t>
      </w:r>
    </w:p>
    <w:p w14:paraId="1556BC8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val="0"/>
          <w:bCs w:val="0"/>
          <w:i w:val="0"/>
          <w:iCs w:val="0"/>
          <w:caps w:val="0"/>
          <w:color w:val="000000"/>
          <w:spacing w:val="0"/>
          <w:kern w:val="0"/>
          <w:sz w:val="30"/>
          <w:szCs w:val="30"/>
          <w:shd w:val="clear" w:fill="FFFFFF"/>
          <w:lang w:val="en-US" w:eastAsia="zh-CN" w:bidi="ar"/>
        </w:rPr>
      </w:pPr>
      <w:bookmarkStart w:id="2" w:name="_Toc31835"/>
      <w:r>
        <w:rPr>
          <w:rFonts w:hint="eastAsia" w:ascii="楷体" w:hAnsi="楷体" w:eastAsia="楷体" w:cs="楷体"/>
          <w:b/>
          <w:bCs/>
          <w:i w:val="0"/>
          <w:iCs w:val="0"/>
          <w:caps w:val="0"/>
          <w:color w:val="000000"/>
          <w:spacing w:val="0"/>
          <w:kern w:val="0"/>
          <w:sz w:val="32"/>
          <w:szCs w:val="32"/>
          <w:shd w:val="clear" w:fill="FFFFFF"/>
          <w:lang w:val="en-US" w:eastAsia="zh-CN" w:bidi="ar"/>
        </w:rPr>
        <w:t>（三）绩效评价原则、评价指标体系、评价方法</w:t>
      </w:r>
      <w:bookmarkEnd w:id="2"/>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0"/>
          <w:szCs w:val="30"/>
          <w:lang w:eastAsia="zh-CN"/>
        </w:rPr>
        <w:t>根据财政部关于印发《项目支出绩效评价管理办法》（财预〔20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号）和《中共湖南省委办公厅湖南省人民政府办公厅关于全面实施预算绩效目标管理的实施意见》（湘办发〔201</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号）等文件要求，</w:t>
      </w:r>
      <w:r>
        <w:rPr>
          <w:rFonts w:hint="eastAsia" w:ascii="仿宋" w:hAnsi="仿宋" w:eastAsia="仿宋" w:cs="仿宋"/>
          <w:sz w:val="30"/>
          <w:szCs w:val="30"/>
          <w:lang w:val="en-US" w:eastAsia="zh-CN"/>
        </w:rPr>
        <w:t>涉及</w:t>
      </w:r>
      <w:r>
        <w:rPr>
          <w:rFonts w:hint="eastAsia" w:ascii="仿宋" w:hAnsi="仿宋" w:eastAsia="仿宋" w:cs="仿宋"/>
          <w:sz w:val="30"/>
          <w:szCs w:val="30"/>
          <w:lang w:eastAsia="zh-CN"/>
        </w:rPr>
        <w:t>部门职能、规划、年度工作计划，部门预算资金、项目管理规定和财务会计制度，财政部门预算批复、部门年度预算执行情况、年度决算报告等。</w:t>
      </w:r>
    </w:p>
    <w:p w14:paraId="08DA59E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3" w:name="_Toc32076"/>
      <w:bookmarkStart w:id="4" w:name="_Toc7615"/>
      <w:r>
        <w:rPr>
          <w:rFonts w:hint="eastAsia" w:ascii="黑体" w:hAnsi="黑体" w:eastAsia="黑体" w:cs="黑体"/>
          <w:i w:val="0"/>
          <w:iCs w:val="0"/>
          <w:caps w:val="0"/>
          <w:color w:val="000000"/>
          <w:spacing w:val="0"/>
          <w:kern w:val="0"/>
          <w:sz w:val="32"/>
          <w:szCs w:val="32"/>
          <w:shd w:val="clear" w:fill="FFFFFF"/>
          <w:lang w:val="en-US" w:eastAsia="zh-CN" w:bidi="ar"/>
        </w:rPr>
        <w:t>三、主要绩效及评价结论</w:t>
      </w:r>
      <w:bookmarkEnd w:id="3"/>
      <w:bookmarkEnd w:id="4"/>
    </w:p>
    <w:p w14:paraId="35A881C7">
      <w:pPr>
        <w:pStyle w:val="9"/>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（一）社会效益   </w:t>
      </w:r>
      <w:r>
        <w:rPr>
          <w:rFonts w:hint="eastAsia" w:ascii="仿宋" w:hAnsi="仿宋" w:eastAsia="仿宋" w:cs="仿宋"/>
          <w:sz w:val="32"/>
          <w:szCs w:val="32"/>
        </w:rPr>
        <w:t>弘扬中华优秀传统文化</w:t>
      </w:r>
      <w:r>
        <w:rPr>
          <w:rFonts w:hint="eastAsia" w:ascii="仿宋" w:hAnsi="仿宋" w:eastAsia="仿宋" w:cs="仿宋"/>
          <w:sz w:val="32"/>
          <w:szCs w:val="32"/>
          <w:lang w:eastAsia="zh-CN"/>
        </w:rPr>
        <w:t>，丰富基层人民文化生，促进乡村振兴及文化旅游发展</w:t>
      </w:r>
      <w:r>
        <w:rPr>
          <w:rFonts w:hint="eastAsia" w:ascii="仿宋" w:hAnsi="仿宋" w:eastAsia="仿宋" w:cs="仿宋"/>
          <w:sz w:val="32"/>
          <w:szCs w:val="32"/>
        </w:rPr>
        <w:t>。</w:t>
      </w:r>
      <w:r>
        <w:rPr>
          <w:rFonts w:hint="eastAsia" w:ascii="仿宋" w:hAnsi="仿宋" w:eastAsia="仿宋" w:cs="仿宋"/>
          <w:sz w:val="32"/>
          <w:szCs w:val="32"/>
          <w:lang w:val="en-US" w:eastAsia="zh-CN"/>
        </w:rPr>
        <w:t>促进社会和谐与凝聚力。</w:t>
      </w:r>
    </w:p>
    <w:p w14:paraId="70558E3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（二）生态效益  </w:t>
      </w:r>
      <w:r>
        <w:rPr>
          <w:rFonts w:hint="eastAsia" w:ascii="仿宋" w:hAnsi="仿宋" w:eastAsia="仿宋" w:cs="仿宋"/>
          <w:sz w:val="32"/>
          <w:szCs w:val="32"/>
          <w:lang w:val="en-US" w:eastAsia="zh-CN"/>
        </w:rPr>
        <w:t>通过对非遗保护、维护生态风貌提高生态效益。</w:t>
      </w:r>
      <w:r>
        <w:rPr>
          <w:rFonts w:hint="eastAsia" w:ascii="仿宋" w:hAnsi="仿宋" w:eastAsia="仿宋" w:cs="仿宋"/>
          <w:sz w:val="32"/>
          <w:szCs w:val="32"/>
        </w:rPr>
        <w:t>促进社区社会文明和稳定</w:t>
      </w:r>
      <w:r>
        <w:rPr>
          <w:rFonts w:hint="eastAsia" w:ascii="仿宋" w:hAnsi="仿宋" w:eastAsia="仿宋" w:cs="仿宋"/>
          <w:sz w:val="32"/>
          <w:szCs w:val="32"/>
          <w:lang w:eastAsia="zh-CN"/>
        </w:rPr>
        <w:t>，提高人们对美的热爱创造和审美情趣</w:t>
      </w:r>
    </w:p>
    <w:p w14:paraId="23C41B55">
      <w:pPr>
        <w:pStyle w:val="9"/>
        <w:rPr>
          <w:rFonts w:hint="eastAsia" w:ascii="仿宋" w:hAnsi="仿宋" w:eastAsia="仿宋" w:cs="仿宋"/>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（三）可持续影响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让非遗</w:t>
      </w:r>
      <w:r>
        <w:rPr>
          <w:rFonts w:hint="eastAsia" w:ascii="仿宋" w:hAnsi="仿宋" w:eastAsia="仿宋" w:cs="仿宋"/>
          <w:sz w:val="32"/>
          <w:szCs w:val="32"/>
        </w:rPr>
        <w:t>得以保存</w:t>
      </w:r>
      <w:r>
        <w:rPr>
          <w:rFonts w:hint="eastAsia" w:ascii="仿宋" w:hAnsi="仿宋" w:eastAsia="仿宋" w:cs="仿宋"/>
          <w:sz w:val="32"/>
          <w:szCs w:val="32"/>
          <w:lang w:eastAsia="zh-CN"/>
        </w:rPr>
        <w:t>、传承和发展</w:t>
      </w:r>
      <w:r>
        <w:rPr>
          <w:rFonts w:hint="eastAsia" w:ascii="仿宋" w:hAnsi="仿宋" w:eastAsia="仿宋" w:cs="仿宋"/>
          <w:sz w:val="32"/>
          <w:szCs w:val="32"/>
        </w:rPr>
        <w:t>。</w:t>
      </w:r>
      <w:r>
        <w:rPr>
          <w:rFonts w:hint="eastAsia" w:ascii="仿宋" w:hAnsi="仿宋" w:eastAsia="仿宋" w:cs="仿宋"/>
          <w:sz w:val="32"/>
          <w:szCs w:val="32"/>
          <w:lang w:val="en-US" w:eastAsia="zh-CN"/>
        </w:rPr>
        <w:t>提升国家文化软实力</w:t>
      </w:r>
    </w:p>
    <w:p w14:paraId="472DAC8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（四）满意度情况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群众满意度大于90%。</w:t>
      </w:r>
    </w:p>
    <w:p w14:paraId="57E4DAD1">
      <w:pPr>
        <w:pStyle w:val="10"/>
        <w:numPr>
          <w:ilvl w:val="0"/>
          <w:numId w:val="0"/>
        </w:numPr>
        <w:spacing w:line="360" w:lineRule="auto"/>
        <w:ind w:firstLine="643" w:firstLineChars="200"/>
        <w:rPr>
          <w:rFonts w:hint="eastAsia" w:ascii="仿宋" w:hAnsi="仿宋" w:eastAsia="仿宋" w:cs="仿宋"/>
          <w:b w:val="0"/>
          <w:bCs/>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（五）评价结论  </w:t>
      </w:r>
      <w:r>
        <w:rPr>
          <w:rFonts w:hint="eastAsia" w:ascii="仿宋" w:hAnsi="仿宋" w:eastAsia="仿宋" w:cs="仿宋"/>
          <w:b w:val="0"/>
          <w:bCs/>
          <w:sz w:val="32"/>
          <w:szCs w:val="32"/>
          <w:lang w:val="en-US" w:eastAsia="zh-CN"/>
        </w:rPr>
        <w:t>建立绩效评价结果与预算安排有机结合，优化绩效评价结果应用，强化资金管理水平。</w:t>
      </w:r>
    </w:p>
    <w:p w14:paraId="08651BDC">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5" w:name="_Toc16332"/>
      <w:bookmarkStart w:id="6" w:name="_Toc27541"/>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5"/>
      <w:bookmarkEnd w:id="6"/>
    </w:p>
    <w:p w14:paraId="3C5595F6">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7"/>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_GB2312" w:eastAsia="仿宋_GB2312" w:cs="仿宋_GB2312"/>
          <w:i w:val="0"/>
          <w:iCs w:val="0"/>
          <w:caps w:val="0"/>
          <w:color w:val="000000"/>
          <w:spacing w:val="0"/>
          <w:kern w:val="0"/>
          <w:sz w:val="32"/>
          <w:szCs w:val="32"/>
          <w:shd w:val="clear" w:fill="FFFFFF"/>
          <w:lang w:val="en-US" w:eastAsia="zh-CN" w:bidi="ar"/>
        </w:rPr>
        <w:t>根据上级补助资金文件制定年初预算.</w:t>
      </w:r>
    </w:p>
    <w:p w14:paraId="0878E7C1">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8" w:name="_Toc28411"/>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8"/>
    </w:p>
    <w:p w14:paraId="725C8E47">
      <w:pPr>
        <w:pStyle w:val="10"/>
        <w:spacing w:line="360" w:lineRule="auto"/>
        <w:ind w:firstLine="640" w:firstLineChars="200"/>
        <w:rPr>
          <w:rFonts w:hint="eastAsia" w:ascii="仿宋" w:hAnsi="仿宋" w:eastAsia="仿宋" w:cs="仿宋"/>
          <w:sz w:val="32"/>
          <w:szCs w:val="32"/>
          <w:lang w:val="en-US" w:eastAsia="zh-CN"/>
        </w:rPr>
      </w:pPr>
      <w:bookmarkStart w:id="9" w:name="_Toc1014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1.资金管理</w:t>
      </w:r>
      <w:bookmarkEnd w:id="9"/>
      <w:r>
        <w:rPr>
          <w:rFonts w:hint="eastAsia" w:ascii="宋体" w:hAnsi="宋体" w:eastAsia="宋体" w:cs="宋体"/>
          <w:sz w:val="32"/>
          <w:szCs w:val="32"/>
        </w:rPr>
        <w:t>（</w:t>
      </w:r>
      <w:r>
        <w:rPr>
          <w:rFonts w:hint="eastAsia" w:ascii="仿宋" w:hAnsi="仿宋" w:eastAsia="仿宋" w:cs="仿宋"/>
          <w:sz w:val="32"/>
          <w:szCs w:val="32"/>
        </w:rPr>
        <w:t>1）项目成本（预算）控制情况</w:t>
      </w:r>
      <w:r>
        <w:rPr>
          <w:rFonts w:hint="eastAsia" w:ascii="仿宋" w:hAnsi="仿宋" w:eastAsia="仿宋" w:cs="仿宋"/>
          <w:sz w:val="32"/>
          <w:szCs w:val="32"/>
          <w:lang w:eastAsia="zh-CN"/>
        </w:rPr>
        <w:t>：</w:t>
      </w:r>
      <w:r>
        <w:rPr>
          <w:rFonts w:hint="eastAsia" w:ascii="仿宋" w:hAnsi="仿宋" w:eastAsia="仿宋" w:cs="仿宋"/>
          <w:sz w:val="32"/>
          <w:szCs w:val="32"/>
        </w:rPr>
        <w:t>项目成本（预算）</w:t>
      </w:r>
      <w:r>
        <w:rPr>
          <w:rFonts w:hint="eastAsia" w:ascii="仿宋" w:hAnsi="仿宋" w:eastAsia="仿宋" w:cs="仿宋"/>
          <w:sz w:val="32"/>
          <w:szCs w:val="32"/>
          <w:lang w:val="en-US" w:eastAsia="zh-CN"/>
        </w:rPr>
        <w:t>控制在财评控制范围内</w:t>
      </w:r>
    </w:p>
    <w:p w14:paraId="78E1CF93">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（2）项目成本（预算）节约情况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按照合同金额支付工程款。</w:t>
      </w:r>
    </w:p>
    <w:p w14:paraId="1422132E">
      <w:pPr>
        <w:pStyle w:val="10"/>
        <w:spacing w:line="360" w:lineRule="auto"/>
        <w:ind w:firstLine="640" w:firstLineChars="200"/>
        <w:rPr>
          <w:rFonts w:hint="eastAsia" w:ascii="仿宋" w:hAnsi="仿宋" w:eastAsia="仿宋" w:cs="仿宋"/>
          <w:sz w:val="32"/>
          <w:szCs w:val="32"/>
          <w:lang w:val="en-US" w:eastAsia="zh-CN"/>
        </w:rPr>
      </w:pPr>
      <w:bookmarkStart w:id="10" w:name="_Toc12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w:t>
      </w:r>
      <w:bookmarkEnd w:id="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rPr>
        <w:t>（1）项目的实施进度</w:t>
      </w:r>
      <w:r>
        <w:rPr>
          <w:rFonts w:hint="eastAsia" w:ascii="仿宋" w:hAnsi="仿宋" w:eastAsia="仿宋" w:cs="仿宋"/>
          <w:sz w:val="32"/>
          <w:szCs w:val="32"/>
          <w:lang w:val="en-US" w:eastAsia="zh-CN"/>
        </w:rPr>
        <w:t>:非遗工作经费已完成。</w:t>
      </w:r>
    </w:p>
    <w:p w14:paraId="1F36FC94">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（2）项目完成质量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该项目已支付完成。</w:t>
      </w:r>
    </w:p>
    <w:p w14:paraId="542B0D1E">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1" w:firstLineChars="1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1" w:name="_Toc6604"/>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11"/>
    </w:p>
    <w:p w14:paraId="15A408BC">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2" w:name="_Toc2074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1.产出数量</w:t>
      </w:r>
      <w:bookmarkEnd w:id="12"/>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完成项目数量指标</w:t>
      </w:r>
      <w:r>
        <w:rPr>
          <w:rFonts w:hint="eastAsia" w:ascii="仿宋" w:hAnsi="仿宋" w:eastAsia="仿宋" w:cs="仿宋"/>
          <w:sz w:val="32"/>
          <w:szCs w:val="32"/>
          <w:lang w:val="en-US" w:eastAsia="zh-CN"/>
        </w:rPr>
        <w:t>该项目已完成。</w:t>
      </w:r>
    </w:p>
    <w:p w14:paraId="513511B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bookmarkStart w:id="13" w:name="_Toc5372"/>
      <w:r>
        <w:rPr>
          <w:rFonts w:hint="eastAsia" w:ascii="仿宋" w:hAnsi="仿宋" w:eastAsia="仿宋" w:cs="仿宋"/>
          <w:i w:val="0"/>
          <w:iCs w:val="0"/>
          <w:caps w:val="0"/>
          <w:color w:val="000000"/>
          <w:spacing w:val="0"/>
          <w:kern w:val="0"/>
          <w:sz w:val="32"/>
          <w:szCs w:val="32"/>
          <w:shd w:val="clear" w:fill="FFFFFF"/>
          <w:lang w:val="en-US" w:eastAsia="zh-CN" w:bidi="ar"/>
        </w:rPr>
        <w:t>2.产出质量</w:t>
      </w:r>
      <w:bookmarkEnd w:id="13"/>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文化遗产保护质量达标率，按年度考核已完成</w:t>
      </w:r>
    </w:p>
    <w:p w14:paraId="45DF5308">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640" w:firstLineChars="20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4" w:name="_Toc25948"/>
      <w:r>
        <w:rPr>
          <w:rFonts w:hint="eastAsia" w:ascii="仿宋" w:hAnsi="仿宋" w:eastAsia="仿宋" w:cs="仿宋"/>
          <w:i w:val="0"/>
          <w:iCs w:val="0"/>
          <w:caps w:val="0"/>
          <w:color w:val="000000"/>
          <w:spacing w:val="0"/>
          <w:kern w:val="0"/>
          <w:sz w:val="32"/>
          <w:szCs w:val="32"/>
          <w:shd w:val="clear" w:fill="FFFFFF"/>
          <w:lang w:val="en-US" w:eastAsia="zh-CN" w:bidi="ar"/>
        </w:rPr>
        <w:t>3.产出成本</w:t>
      </w:r>
      <w:bookmarkEnd w:id="14"/>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支出成本控制在预算内，按预算成本支付</w:t>
      </w:r>
    </w:p>
    <w:p w14:paraId="53065E9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bookmarkStart w:id="15" w:name="_Toc21477"/>
      <w:r>
        <w:rPr>
          <w:rFonts w:hint="eastAsia" w:ascii="仿宋" w:hAnsi="仿宋" w:eastAsia="仿宋" w:cs="仿宋"/>
          <w:i w:val="0"/>
          <w:iCs w:val="0"/>
          <w:caps w:val="0"/>
          <w:color w:val="000000"/>
          <w:spacing w:val="0"/>
          <w:kern w:val="0"/>
          <w:sz w:val="32"/>
          <w:szCs w:val="32"/>
          <w:shd w:val="clear" w:fill="FFFFFF"/>
          <w:lang w:val="en-US" w:eastAsia="zh-CN" w:bidi="ar"/>
        </w:rPr>
        <w:t>4.产出时效</w:t>
      </w:r>
      <w:bookmarkEnd w:id="15"/>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工作完成及时率、资金拨付及时率，该项目已完成，资金拨付到位</w:t>
      </w:r>
    </w:p>
    <w:p w14:paraId="04FC22C0">
      <w:pPr>
        <w:pStyle w:val="5"/>
        <w:widowControl/>
        <w:shd w:val="clear" w:color="auto" w:fill="FFFFFF"/>
        <w:spacing w:beforeAutospacing="0" w:afterAutospacing="0" w:line="560" w:lineRule="exact"/>
        <w:ind w:firstLine="643" w:firstLineChars="200"/>
        <w:jc w:val="both"/>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6" w:name="_Toc12690"/>
      <w:bookmarkStart w:id="17" w:name="_Toc3072"/>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bookmarkEnd w:id="16"/>
      <w:bookmarkEnd w:id="17"/>
    </w:p>
    <w:p w14:paraId="5FE0EB2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提升旅游品质促进经济发展。</w:t>
      </w:r>
    </w:p>
    <w:p w14:paraId="7C172668">
      <w:pPr>
        <w:pStyle w:val="9"/>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rPr>
        <w:t>弘扬中华优秀传统文化</w:t>
      </w:r>
      <w:r>
        <w:rPr>
          <w:rFonts w:hint="eastAsia" w:ascii="仿宋" w:hAnsi="仿宋" w:eastAsia="仿宋" w:cs="仿宋"/>
          <w:sz w:val="32"/>
          <w:szCs w:val="32"/>
          <w:lang w:eastAsia="zh-CN"/>
        </w:rPr>
        <w:t>，丰富基层人民文化生，促进乡村振兴及文化旅游发展</w:t>
      </w:r>
      <w:r>
        <w:rPr>
          <w:rFonts w:hint="eastAsia" w:ascii="仿宋" w:hAnsi="仿宋" w:eastAsia="仿宋" w:cs="仿宋"/>
          <w:sz w:val="32"/>
          <w:szCs w:val="32"/>
        </w:rPr>
        <w:t>。</w:t>
      </w:r>
      <w:r>
        <w:rPr>
          <w:rFonts w:hint="eastAsia" w:ascii="仿宋" w:hAnsi="仿宋" w:eastAsia="仿宋" w:cs="仿宋"/>
          <w:sz w:val="32"/>
          <w:szCs w:val="32"/>
          <w:lang w:val="en-US" w:eastAsia="zh-CN"/>
        </w:rPr>
        <w:t>促进社会和谐与凝聚力。</w:t>
      </w:r>
    </w:p>
    <w:p w14:paraId="6FB7E6E3">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通过对非遗保护、维护生态风貌提高生态效益。</w:t>
      </w:r>
      <w:r>
        <w:rPr>
          <w:rFonts w:hint="eastAsia" w:ascii="仿宋" w:hAnsi="仿宋" w:eastAsia="仿宋" w:cs="仿宋"/>
          <w:sz w:val="32"/>
          <w:szCs w:val="32"/>
        </w:rPr>
        <w:t>促进社区社会文明和稳定</w:t>
      </w:r>
      <w:r>
        <w:rPr>
          <w:rFonts w:hint="eastAsia" w:ascii="仿宋" w:hAnsi="仿宋" w:eastAsia="仿宋" w:cs="仿宋"/>
          <w:sz w:val="32"/>
          <w:szCs w:val="32"/>
          <w:lang w:eastAsia="zh-CN"/>
        </w:rPr>
        <w:t>，提高人们对美的热爱创造和审美情趣</w:t>
      </w:r>
    </w:p>
    <w:p w14:paraId="44C71EBF">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p>
    <w:p w14:paraId="24D627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8" w:name="_Toc390096931"/>
      <w:bookmarkStart w:id="19" w:name="_Toc390267055"/>
      <w:bookmarkStart w:id="20" w:name="_Toc12414"/>
      <w:bookmarkStart w:id="21" w:name="_Toc24241"/>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8"/>
      <w:bookmarkEnd w:id="19"/>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20"/>
      <w:bookmarkEnd w:id="21"/>
    </w:p>
    <w:p w14:paraId="7AED30A7">
      <w:pPr>
        <w:spacing w:line="680" w:lineRule="exact"/>
        <w:ind w:firstLine="643" w:firstLineChars="200"/>
        <w:jc w:val="left"/>
        <w:rPr>
          <w:rFonts w:hint="default" w:ascii="仿宋" w:hAnsi="仿宋" w:eastAsia="仿宋" w:cs="仿宋"/>
          <w:sz w:val="30"/>
          <w:szCs w:val="30"/>
          <w:lang w:val="en-US" w:eastAsia="zh-CN"/>
        </w:rPr>
      </w:pPr>
      <w:bookmarkStart w:id="26" w:name="_GoBack"/>
      <w:bookmarkStart w:id="22" w:name="_Toc23434"/>
      <w:bookmarkStart w:id="23" w:name="_Toc5316"/>
      <w:r>
        <w:rPr>
          <w:rFonts w:hint="eastAsia" w:ascii="仿宋" w:hAnsi="仿宋" w:eastAsia="仿宋" w:cs="仿宋"/>
          <w:b/>
          <w:bCs/>
          <w:i w:val="0"/>
          <w:iCs w:val="0"/>
          <w:caps w:val="0"/>
          <w:color w:val="000000"/>
          <w:spacing w:val="0"/>
          <w:kern w:val="0"/>
          <w:sz w:val="32"/>
          <w:szCs w:val="32"/>
          <w:shd w:val="clear" w:fill="FFFFFF"/>
          <w:lang w:val="en-US" w:eastAsia="zh-CN" w:bidi="ar"/>
        </w:rPr>
        <w:t>（一）项目主要经验</w:t>
      </w:r>
      <w:bookmarkEnd w:id="22"/>
      <w:r>
        <w:rPr>
          <w:rFonts w:hint="eastAsia" w:ascii="仿宋" w:hAnsi="仿宋" w:eastAsia="仿宋" w:cs="仿宋"/>
          <w:b/>
          <w:bCs/>
          <w:i w:val="0"/>
          <w:iCs w:val="0"/>
          <w:caps w:val="0"/>
          <w:color w:val="000000"/>
          <w:spacing w:val="0"/>
          <w:kern w:val="0"/>
          <w:sz w:val="32"/>
          <w:szCs w:val="32"/>
          <w:shd w:val="clear" w:fill="FFFFFF"/>
          <w:lang w:val="en-US" w:eastAsia="zh-CN" w:bidi="ar"/>
        </w:rPr>
        <w:t>及做法</w:t>
      </w:r>
      <w:bookmarkEnd w:id="23"/>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1、加强领导、落实责任</w:t>
      </w:r>
      <w:r>
        <w:rPr>
          <w:rFonts w:hint="eastAsia" w:ascii="仿宋" w:hAnsi="仿宋" w:eastAsia="仿宋" w:cs="仿宋"/>
          <w:sz w:val="30"/>
          <w:szCs w:val="30"/>
          <w:lang w:val="en-US" w:eastAsia="zh-CN"/>
        </w:rPr>
        <w:t>2、健全管理制度，3、落实项目资金。</w:t>
      </w:r>
    </w:p>
    <w:p w14:paraId="5F1AFC2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sz w:val="30"/>
          <w:szCs w:val="30"/>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（二）存在的问题  </w:t>
      </w:r>
      <w:r>
        <w:rPr>
          <w:rFonts w:hint="eastAsia" w:ascii="仿宋" w:hAnsi="仿宋" w:eastAsia="仿宋" w:cs="仿宋"/>
          <w:sz w:val="30"/>
          <w:szCs w:val="30"/>
        </w:rPr>
        <w:t>由于项目保护资金短缺，难于很好地开展保护工作和传承活动。</w:t>
      </w:r>
    </w:p>
    <w:p w14:paraId="15F6133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i w:val="0"/>
          <w:iCs w:val="0"/>
          <w:caps w:val="0"/>
          <w:color w:val="000000"/>
          <w:spacing w:val="0"/>
          <w:sz w:val="32"/>
          <w:szCs w:val="32"/>
          <w:lang w:val="en-US"/>
        </w:rPr>
      </w:pPr>
      <w:bookmarkStart w:id="24" w:name="_Toc29278"/>
      <w:bookmarkStart w:id="25" w:name="_Toc16271"/>
      <w:r>
        <w:rPr>
          <w:rFonts w:hint="eastAsia" w:ascii="仿宋" w:hAnsi="仿宋" w:eastAsia="仿宋" w:cs="仿宋"/>
          <w:b/>
          <w:bCs/>
          <w:i w:val="0"/>
          <w:iCs w:val="0"/>
          <w:caps w:val="0"/>
          <w:color w:val="000000"/>
          <w:spacing w:val="0"/>
          <w:kern w:val="0"/>
          <w:sz w:val="32"/>
          <w:szCs w:val="32"/>
          <w:shd w:val="clear" w:fill="FFFFFF"/>
          <w:lang w:val="en-US" w:eastAsia="zh-CN" w:bidi="ar"/>
        </w:rPr>
        <w:t>（三）有关建议</w:t>
      </w:r>
      <w:bookmarkEnd w:id="24"/>
      <w:bookmarkEnd w:id="25"/>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无</w:t>
      </w:r>
    </w:p>
    <w:p w14:paraId="639BD6E9"/>
    <w:bookmarkEnd w:id="26"/>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宋体"/>
    <w:panose1 w:val="020204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65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166C0"/>
    <w:rsid w:val="0CB332F9"/>
    <w:rsid w:val="1E192FD1"/>
    <w:rsid w:val="22813962"/>
    <w:rsid w:val="25665261"/>
    <w:rsid w:val="43955E5D"/>
    <w:rsid w:val="470B041E"/>
    <w:rsid w:val="544727ED"/>
    <w:rsid w:val="68F26607"/>
    <w:rsid w:val="730950DB"/>
    <w:rsid w:val="7796206C"/>
    <w:rsid w:val="77E6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spacing w:beforeLines="0" w:afterLines="0"/>
      <w:ind w:firstLine="420"/>
    </w:pPr>
    <w:rPr>
      <w:rFonts w:hint="default"/>
      <w:sz w:val="32"/>
    </w:rPr>
  </w:style>
  <w:style w:type="paragraph" w:customStyle="1" w:styleId="9">
    <w:name w:val="BodyText1I"/>
    <w:basedOn w:val="1"/>
    <w:qFormat/>
    <w:uiPriority w:val="99"/>
    <w:pPr>
      <w:snapToGrid w:val="0"/>
      <w:spacing w:line="560" w:lineRule="exact"/>
      <w:ind w:firstLine="883" w:firstLineChars="200"/>
    </w:pPr>
    <w:rPr>
      <w:rFonts w:ascii="GWZT-EN" w:hAnsi="Times New Roman" w:eastAsia="仿宋"/>
      <w:sz w:val="32"/>
      <w:szCs w:val="20"/>
    </w:rPr>
  </w:style>
  <w:style w:type="paragraph" w:customStyle="1" w:styleId="10">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1756</Words>
  <Characters>1794</Characters>
  <Lines>0</Lines>
  <Paragraphs>0</Paragraphs>
  <TotalTime>1</TotalTime>
  <ScaleCrop>false</ScaleCrop>
  <LinksUpToDate>false</LinksUpToDate>
  <CharactersWithSpaces>1846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2025-02-17T08:53:00Z</dcterms:created>
  <dc:creator>Administrator</dc:creator>
  <cp:lastModifiedBy>Administrator</cp:lastModifiedBy>
  <dcterms:modified xsi:type="dcterms:W3CDTF">2025-05-16T03:48:13Z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eyJoZGlkIjoiZWQwZjNkODU0YWU0ZjZlNDczZTAwZDVkZjc1ZGNkMmQifQ==</vt:lpwstr>
  </property>
  <property fmtid="{D5CDD505-2E9C-101B-9397-08002B2CF9AE}" pid="4" name="ICV">
    <vt:lpwstr>727097A6A05647B9A2AC6A0A56E6A72C_12</vt:lpwstr>
  </property>
</Properties>
</file>