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8EDE6">
      <w:pPr>
        <w:pStyle w:val="7"/>
        <w:widowControl/>
        <w:shd w:val="clear" w:color="auto" w:fill="FFFFFF"/>
        <w:snapToGrid w:val="0"/>
        <w:spacing w:beforeAutospacing="0" w:afterAutospacing="0" w:line="520" w:lineRule="exact"/>
        <w:jc w:val="both"/>
        <w:rPr>
          <w:rFonts w:ascii="方正小标宋_GBK" w:hAnsi="方正小标宋_GBK" w:eastAsia="方正仿宋_GB2312" w:cs="方正小标宋_GBK"/>
          <w:color w:val="000000"/>
          <w:sz w:val="44"/>
          <w:szCs w:val="44"/>
          <w:shd w:val="clear" w:color="auto" w:fill="FFFFFF"/>
        </w:rPr>
      </w:pPr>
      <w:bookmarkStart w:id="0" w:name="_GoBack"/>
      <w:bookmarkEnd w:id="0"/>
      <w:r>
        <w:rPr>
          <w:rFonts w:hint="eastAsia" w:ascii="方正仿宋_GB2312" w:hAnsi="方正仿宋_GB2312" w:eastAsia="方正仿宋_GB2312" w:cs="方正仿宋_GB2312"/>
          <w:color w:val="000000"/>
          <w:sz w:val="32"/>
          <w:szCs w:val="32"/>
          <w:shd w:val="clear" w:color="auto" w:fill="FFFFFF"/>
        </w:rPr>
        <w:t>附件4</w:t>
      </w:r>
    </w:p>
    <w:p w14:paraId="6B1D2682">
      <w:pPr>
        <w:pStyle w:val="7"/>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部门整体支出绩效自评报告</w:t>
      </w:r>
    </w:p>
    <w:p w14:paraId="46C7241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根据县财政局《关于开展2024年度部门整体支出和专项支出绩效自评工作的通知》（ </w:t>
      </w:r>
      <w:r>
        <w:rPr>
          <w:rFonts w:hint="eastAsia" w:ascii="仿宋" w:hAnsi="仿宋" w:eastAsia="仿宋" w:cs="仿宋"/>
          <w:kern w:val="0"/>
          <w:sz w:val="32"/>
          <w:szCs w:val="32"/>
        </w:rPr>
        <w:t>沅财绩〔2025〕21号</w:t>
      </w:r>
      <w:r>
        <w:rPr>
          <w:rFonts w:hint="eastAsia" w:ascii="仿宋" w:hAnsi="仿宋" w:eastAsia="仿宋" w:cs="仿宋"/>
          <w:sz w:val="30"/>
          <w:szCs w:val="30"/>
        </w:rPr>
        <w:t>）文件精神，沅陵县文化遗产保护中心（沅陵县博物馆、沅陵县考古研究中心）对2024年度部门整体支出绩效进行了全面综合评价。整体支出分基本支出和专项支出两部分，基本支出的评价重点是厉行节约保运转，降低行政成本；专项支出的评价重点是规范管理促发展，提高资金绩效，经全面综合评价自评得 95分。现将具体情况报告如下：</w:t>
      </w:r>
    </w:p>
    <w:p w14:paraId="5D22C920">
      <w:pPr>
        <w:pStyle w:val="7"/>
        <w:widowControl/>
        <w:shd w:val="clear" w:color="auto" w:fill="FFFFFF"/>
        <w:snapToGrid w:val="0"/>
        <w:spacing w:beforeAutospacing="0" w:afterAutospacing="0" w:line="520" w:lineRule="exact"/>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一、部门、单位基本情况</w:t>
      </w:r>
    </w:p>
    <w:p w14:paraId="28864090">
      <w:pPr>
        <w:snapToGrid w:val="0"/>
        <w:spacing w:line="52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（一）机构设置情况</w:t>
      </w:r>
    </w:p>
    <w:p w14:paraId="185F8646">
      <w:pPr>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bCs/>
          <w:kern w:val="0"/>
          <w:sz w:val="30"/>
          <w:szCs w:val="30"/>
        </w:rPr>
        <w:t>沅陵县文化遗产保护中心（沅陵县博物馆、沅陵县考古研究中心）</w:t>
      </w:r>
      <w:r>
        <w:rPr>
          <w:rFonts w:hint="eastAsia" w:ascii="仿宋" w:hAnsi="仿宋" w:eastAsia="仿宋" w:cs="仿宋"/>
          <w:color w:val="000000"/>
          <w:sz w:val="30"/>
          <w:szCs w:val="30"/>
        </w:rPr>
        <w:t>为</w:t>
      </w:r>
      <w:r>
        <w:rPr>
          <w:rFonts w:hint="eastAsia" w:ascii="仿宋" w:hAnsi="仿宋" w:eastAsia="仿宋" w:cs="仿宋"/>
          <w:spacing w:val="-6"/>
          <w:sz w:val="30"/>
          <w:szCs w:val="30"/>
        </w:rPr>
        <w:t>全额拨款副科级事业单位</w:t>
      </w:r>
      <w:r>
        <w:rPr>
          <w:rFonts w:hint="eastAsia" w:ascii="仿宋" w:hAnsi="仿宋" w:eastAsia="仿宋" w:cs="仿宋"/>
          <w:color w:val="000000"/>
          <w:sz w:val="30"/>
          <w:szCs w:val="30"/>
        </w:rPr>
        <w:t>，目前执行政府会计制度</w:t>
      </w:r>
      <w:r>
        <w:rPr>
          <w:rFonts w:hint="eastAsia" w:ascii="仿宋" w:hAnsi="仿宋" w:eastAsia="仿宋" w:cs="仿宋"/>
          <w:sz w:val="30"/>
          <w:szCs w:val="30"/>
        </w:rPr>
        <w:t>。</w:t>
      </w:r>
    </w:p>
    <w:p w14:paraId="1E983762">
      <w:pPr>
        <w:snapToGrid w:val="0"/>
        <w:spacing w:line="52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（二）人员编制情况</w:t>
      </w:r>
    </w:p>
    <w:p w14:paraId="72133A34">
      <w:pPr>
        <w:snapToGrid w:val="0"/>
        <w:spacing w:line="520" w:lineRule="exact"/>
        <w:ind w:firstLine="600" w:firstLineChars="200"/>
        <w:jc w:val="left"/>
        <w:rPr>
          <w:rFonts w:ascii="仿宋" w:hAnsi="仿宋" w:eastAsia="仿宋" w:cs="仿宋"/>
          <w:spacing w:val="-6"/>
          <w:sz w:val="30"/>
          <w:szCs w:val="30"/>
        </w:rPr>
      </w:pPr>
      <w:r>
        <w:rPr>
          <w:rFonts w:hint="eastAsia" w:ascii="仿宋" w:hAnsi="仿宋" w:eastAsia="仿宋" w:cs="仿宋"/>
          <w:bCs/>
          <w:kern w:val="0"/>
          <w:sz w:val="30"/>
          <w:szCs w:val="30"/>
        </w:rPr>
        <w:t>沅陵县非物质文化遗产保护中心（县博物馆）</w:t>
      </w:r>
      <w:r>
        <w:rPr>
          <w:rFonts w:hint="eastAsia" w:ascii="仿宋" w:hAnsi="仿宋" w:eastAsia="仿宋" w:cs="仿宋"/>
          <w:spacing w:val="-6"/>
          <w:sz w:val="30"/>
          <w:szCs w:val="30"/>
        </w:rPr>
        <w:t>实有在职人数18人，其中全额拨款9人、自收自支8人，退休人员12人。</w:t>
      </w:r>
    </w:p>
    <w:p w14:paraId="63F3A3EA">
      <w:pPr>
        <w:widowControl/>
        <w:shd w:val="clear" w:color="auto" w:fill="FFFFFF"/>
        <w:spacing w:before="42" w:after="42" w:line="360" w:lineRule="atLeast"/>
        <w:ind w:firstLine="640" w:firstLineChars="200"/>
        <w:jc w:val="left"/>
        <w:rPr>
          <w:rFonts w:ascii="仿宋" w:hAnsi="仿宋" w:eastAsia="仿宋" w:cs="仿宋"/>
          <w:sz w:val="30"/>
          <w:szCs w:val="30"/>
        </w:rPr>
      </w:pPr>
      <w:r>
        <w:rPr>
          <w:rFonts w:hint="eastAsia" w:ascii="仿宋" w:hAnsi="仿宋" w:eastAsia="仿宋" w:cs="仿宋"/>
          <w:color w:val="000000"/>
          <w:sz w:val="32"/>
          <w:szCs w:val="32"/>
          <w:shd w:val="clear" w:color="auto" w:fill="FFFFFF"/>
        </w:rPr>
        <w:t>（三）主要职能职责</w:t>
      </w:r>
      <w:r>
        <w:rPr>
          <w:rFonts w:hint="eastAsia" w:ascii="仿宋" w:hAnsi="仿宋" w:eastAsia="仿宋" w:cs="仿宋"/>
          <w:spacing w:val="-6"/>
          <w:sz w:val="30"/>
          <w:szCs w:val="30"/>
        </w:rPr>
        <w:t>贯彻执行有关文化遗产保护和博物馆工作的方针政策和法律法规，为群众提供文化遗产及博物馆相关公共文化服务，负责全县文化遗产保护利用的发展规划编制工作，全面负责文物保护、收藏、展览、管理。</w:t>
      </w:r>
    </w:p>
    <w:p w14:paraId="75968803">
      <w:pPr>
        <w:spacing w:beforeLines="100" w:afterLines="200"/>
        <w:ind w:firstLine="640" w:firstLineChars="200"/>
        <w:contextualSpacing/>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绩效目标设定情况目标1:保障单位办公正常运转及差额人员工资正常发放社保费缴纳.目标2：搞好博物馆建设，目标3：做好非物质文化遗产保护工作，保护传承我县非物质文化遗产，目标4：完成县内部分文物保护单位保护修缮申报、巡查工作。目标5：文物保护，古尸保护工作。　　</w:t>
      </w:r>
    </w:p>
    <w:p w14:paraId="44C9ED36">
      <w:pPr>
        <w:spacing w:beforeLines="100" w:afterLines="200"/>
        <w:ind w:firstLine="600" w:firstLineChars="200"/>
        <w:contextualSpacing/>
        <w:jc w:val="left"/>
        <w:rPr>
          <w:rFonts w:ascii="仿宋" w:hAnsi="仿宋" w:eastAsia="仿宋" w:cs="仿宋"/>
          <w:color w:val="000000"/>
          <w:sz w:val="30"/>
          <w:szCs w:val="30"/>
        </w:rPr>
      </w:pPr>
      <w:r>
        <w:rPr>
          <w:rFonts w:hint="eastAsia" w:ascii="仿宋" w:hAnsi="仿宋" w:eastAsia="仿宋" w:cs="仿宋"/>
          <w:color w:val="000000"/>
          <w:sz w:val="30"/>
          <w:szCs w:val="30"/>
        </w:rPr>
        <w:t>2024年完成县内文物保护单位安全巡查、元代古尸保护、红二六军团卫生部旧址修缮工程、红二六军团保卫团旧址修缮工程、博物馆新馆建设、龙兴讲寺、王家大院日常工作及非遗保护传承工作。</w:t>
      </w:r>
    </w:p>
    <w:p w14:paraId="67660BA0">
      <w:pPr>
        <w:snapToGrid w:val="0"/>
        <w:spacing w:line="520" w:lineRule="exac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二、部门整体支出管理及使用情况</w:t>
      </w:r>
    </w:p>
    <w:p w14:paraId="315F89DC">
      <w:pPr>
        <w:snapToGrid w:val="0"/>
        <w:spacing w:line="520" w:lineRule="exact"/>
        <w:ind w:firstLine="480" w:firstLineChars="15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（一）预算执行、使用、管理总体情况。</w:t>
      </w:r>
    </w:p>
    <w:p w14:paraId="5EF8B922">
      <w:pPr>
        <w:snapToGrid w:val="0"/>
        <w:spacing w:line="520" w:lineRule="exact"/>
        <w:ind w:firstLine="450" w:firstLineChars="150"/>
        <w:jc w:val="left"/>
        <w:rPr>
          <w:rFonts w:ascii="仿宋" w:hAnsi="仿宋" w:eastAsia="仿宋" w:cs="仿宋"/>
          <w:color w:val="000000"/>
          <w:sz w:val="30"/>
          <w:szCs w:val="30"/>
        </w:rPr>
      </w:pPr>
      <w:r>
        <w:rPr>
          <w:rFonts w:hint="eastAsia" w:ascii="仿宋" w:hAnsi="仿宋" w:eastAsia="仿宋" w:cs="仿宋"/>
          <w:color w:val="000000"/>
          <w:sz w:val="30"/>
          <w:szCs w:val="30"/>
        </w:rPr>
        <w:t>2024年总收入支出537.21万元，其中，（1）基本支出140.76万元；占</w:t>
      </w:r>
      <w:r>
        <w:rPr>
          <w:rFonts w:hint="eastAsia" w:ascii="仿宋" w:hAnsi="仿宋" w:eastAsia="仿宋" w:cs="仿宋"/>
          <w:sz w:val="30"/>
          <w:szCs w:val="30"/>
        </w:rPr>
        <w:t>总支出</w:t>
      </w:r>
      <w:r>
        <w:rPr>
          <w:rFonts w:hint="eastAsia" w:ascii="仿宋" w:hAnsi="仿宋" w:eastAsia="仿宋" w:cs="仿宋"/>
          <w:color w:val="000000"/>
          <w:sz w:val="30"/>
          <w:szCs w:val="30"/>
        </w:rPr>
        <w:t>26.2%。（2）项目支出396.45万元；占</w:t>
      </w:r>
      <w:r>
        <w:rPr>
          <w:rFonts w:hint="eastAsia" w:ascii="仿宋" w:hAnsi="仿宋" w:eastAsia="仿宋" w:cs="仿宋"/>
          <w:sz w:val="30"/>
          <w:szCs w:val="30"/>
        </w:rPr>
        <w:t>总支出73.8</w:t>
      </w:r>
      <w:r>
        <w:rPr>
          <w:rFonts w:hint="eastAsia" w:ascii="仿宋" w:hAnsi="仿宋" w:eastAsia="仿宋" w:cs="仿宋"/>
          <w:color w:val="000000"/>
          <w:sz w:val="30"/>
          <w:szCs w:val="30"/>
        </w:rPr>
        <w:t>%。</w:t>
      </w:r>
    </w:p>
    <w:p w14:paraId="67C90699">
      <w:pPr>
        <w:pStyle w:val="7"/>
        <w:widowControl/>
        <w:numPr>
          <w:ilvl w:val="0"/>
          <w:numId w:val="1"/>
        </w:numPr>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部门预算执行情况</w:t>
      </w:r>
    </w:p>
    <w:p w14:paraId="7FFF849E">
      <w:pPr>
        <w:pStyle w:val="7"/>
        <w:widowControl/>
        <w:numPr>
          <w:ilvl w:val="0"/>
          <w:numId w:val="2"/>
        </w:numPr>
        <w:shd w:val="clear" w:color="auto" w:fill="FFFFFF"/>
        <w:snapToGrid w:val="0"/>
        <w:spacing w:beforeAutospacing="0" w:afterAutospacing="0" w:line="520" w:lineRule="exact"/>
        <w:ind w:left="210" w:leftChars="100" w:firstLine="960" w:firstLineChars="300"/>
        <w:rPr>
          <w:rFonts w:ascii="仿宋" w:hAnsi="仿宋" w:eastAsia="仿宋" w:cs="仿宋"/>
          <w:color w:val="000000"/>
          <w:sz w:val="30"/>
          <w:szCs w:val="30"/>
        </w:rPr>
      </w:pPr>
      <w:r>
        <w:rPr>
          <w:rFonts w:hint="eastAsia" w:ascii="仿宋" w:hAnsi="仿宋" w:eastAsia="仿宋" w:cs="仿宋"/>
          <w:color w:val="000000"/>
          <w:sz w:val="32"/>
          <w:szCs w:val="32"/>
          <w:shd w:val="clear" w:color="auto" w:fill="FFFFFF"/>
        </w:rPr>
        <w:t>基本支出情况</w:t>
      </w:r>
      <w:r>
        <w:rPr>
          <w:rFonts w:hint="eastAsia" w:ascii="仿宋" w:hAnsi="仿宋" w:eastAsia="仿宋" w:cs="仿宋"/>
          <w:color w:val="000000"/>
          <w:sz w:val="30"/>
          <w:szCs w:val="30"/>
        </w:rPr>
        <w:t>2024年基本支出140.76元。一、在工资福利支出130.2万元中，占基本支出92.5%。其中（1）在职人员工资津贴67.95万元；（2）年终目标考核奖励22.1万元，（3）社会保障缴费32.7万元（4）绩效工资6.45万元。（5）其他工资福利支出1万元。</w:t>
      </w:r>
    </w:p>
    <w:p w14:paraId="5A600200">
      <w:pPr>
        <w:pStyle w:val="7"/>
        <w:widowControl/>
        <w:shd w:val="clear" w:color="auto" w:fill="FFFFFF"/>
        <w:snapToGrid w:val="0"/>
        <w:spacing w:beforeAutospacing="0" w:afterAutospacing="0" w:line="520" w:lineRule="exact"/>
        <w:ind w:firstLine="600" w:firstLineChars="200"/>
        <w:jc w:val="both"/>
        <w:rPr>
          <w:rFonts w:ascii="仿宋" w:hAnsi="仿宋" w:eastAsia="仿宋" w:cs="仿宋"/>
          <w:color w:val="000000"/>
          <w:sz w:val="30"/>
          <w:szCs w:val="30"/>
        </w:rPr>
      </w:pPr>
      <w:r>
        <w:rPr>
          <w:rFonts w:hint="eastAsia" w:ascii="仿宋" w:hAnsi="仿宋" w:eastAsia="仿宋" w:cs="仿宋"/>
          <w:color w:val="000000"/>
          <w:sz w:val="30"/>
          <w:szCs w:val="30"/>
        </w:rPr>
        <w:t>二、公用支出9.6万元，占6.8%。（1）办公费5万元；（2）印刷费、水电费、邮电费、差旅费、培训费等2.6万元；（3）工会经费2万元。</w:t>
      </w:r>
    </w:p>
    <w:p w14:paraId="26E6D316">
      <w:pPr>
        <w:snapToGrid w:val="0"/>
        <w:spacing w:line="520" w:lineRule="exact"/>
        <w:ind w:firstLine="750" w:firstLineChars="250"/>
        <w:jc w:val="left"/>
        <w:rPr>
          <w:rFonts w:ascii="仿宋" w:hAnsi="仿宋" w:eastAsia="仿宋" w:cs="仿宋"/>
          <w:sz w:val="30"/>
          <w:szCs w:val="30"/>
        </w:rPr>
      </w:pPr>
      <w:r>
        <w:rPr>
          <w:rFonts w:hint="eastAsia" w:ascii="仿宋" w:hAnsi="仿宋" w:eastAsia="仿宋" w:cs="仿宋"/>
          <w:color w:val="000000"/>
          <w:sz w:val="30"/>
          <w:szCs w:val="30"/>
        </w:rPr>
        <w:t>三.对个人和家庭的补助1万元，占0.7%。其中生活补助0.9万元，奖励金0.1万元。</w:t>
      </w:r>
    </w:p>
    <w:p w14:paraId="1AB7504C">
      <w:pPr>
        <w:shd w:val="clear" w:color="auto" w:fill="FFFFFF"/>
        <w:spacing w:line="640" w:lineRule="exact"/>
        <w:ind w:firstLine="320" w:firstLineChars="100"/>
        <w:rPr>
          <w:rFonts w:ascii="仿宋" w:hAnsi="仿宋" w:eastAsia="仿宋" w:cs="仿宋"/>
          <w:spacing w:val="-2"/>
          <w:sz w:val="30"/>
          <w:szCs w:val="30"/>
        </w:rPr>
      </w:pPr>
      <w:r>
        <w:rPr>
          <w:rFonts w:hint="eastAsia" w:ascii="仿宋" w:hAnsi="仿宋" w:eastAsia="仿宋" w:cs="仿宋"/>
          <w:color w:val="000000"/>
          <w:sz w:val="32"/>
          <w:szCs w:val="32"/>
          <w:shd w:val="clear" w:color="auto" w:fill="FFFFFF"/>
        </w:rPr>
        <w:t>2.项目支出情况  2024年项目支出396.45万元。</w:t>
      </w:r>
      <w:r>
        <w:rPr>
          <w:rFonts w:hint="eastAsia" w:ascii="仿宋" w:hAnsi="仿宋" w:eastAsia="仿宋" w:cs="仿宋"/>
          <w:spacing w:val="-2"/>
          <w:sz w:val="30"/>
          <w:szCs w:val="30"/>
        </w:rPr>
        <w:t>一、古尸保护经费10万元。二：龙兴讲寺免费开放经费40万元。三、王家大院经费24.91万元。四、文物保护经费251万元。五、非遗经费29.52万元。六、专项业务费41万元。</w:t>
      </w:r>
    </w:p>
    <w:p w14:paraId="453C4376">
      <w:pPr>
        <w:pStyle w:val="7"/>
        <w:widowControl/>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（三）"三公"经费使用和管理情况 无</w:t>
      </w:r>
    </w:p>
    <w:p w14:paraId="4FEEAFF3">
      <w:pPr>
        <w:pStyle w:val="7"/>
        <w:widowControl/>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三、政府性基金预算支出情况   无</w:t>
      </w:r>
    </w:p>
    <w:p w14:paraId="0FCC672C">
      <w:pPr>
        <w:pStyle w:val="7"/>
        <w:widowControl/>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四、国有资本经营预算支出情况 无</w:t>
      </w:r>
    </w:p>
    <w:p w14:paraId="44FD61FD">
      <w:pPr>
        <w:pStyle w:val="7"/>
        <w:widowControl/>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五、社会保险基金预算支出情况 无</w:t>
      </w:r>
    </w:p>
    <w:p w14:paraId="3C46EAF9">
      <w:pPr>
        <w:pStyle w:val="7"/>
        <w:widowControl/>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六、部门整体支出绩效情况</w:t>
      </w:r>
    </w:p>
    <w:p w14:paraId="539E9D11">
      <w:pPr>
        <w:pStyle w:val="7"/>
        <w:widowControl/>
        <w:shd w:val="clear" w:color="auto" w:fill="FFFFFF"/>
        <w:snapToGrid w:val="0"/>
        <w:spacing w:beforeAutospacing="0" w:afterAutospacing="0" w:line="520" w:lineRule="exact"/>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（一）综合评价结论。反映自评得分及评价等级。</w:t>
      </w:r>
      <w:r>
        <w:rPr>
          <w:rFonts w:hint="eastAsia" w:ascii="仿宋" w:hAnsi="仿宋" w:eastAsia="仿宋" w:cs="仿宋"/>
          <w:sz w:val="30"/>
          <w:szCs w:val="30"/>
        </w:rPr>
        <w:t>全面综合评价自评得 98分。</w:t>
      </w:r>
    </w:p>
    <w:p w14:paraId="7F5785D2">
      <w:pPr>
        <w:spacing w:line="640" w:lineRule="exact"/>
        <w:rPr>
          <w:rFonts w:ascii="仿宋" w:hAnsi="仿宋" w:eastAsia="仿宋" w:cs="仿宋"/>
          <w:sz w:val="32"/>
          <w:szCs w:val="32"/>
        </w:rPr>
      </w:pPr>
      <w:r>
        <w:rPr>
          <w:rFonts w:hint="eastAsia" w:ascii="仿宋" w:hAnsi="仿宋" w:eastAsia="仿宋" w:cs="仿宋"/>
          <w:color w:val="000000"/>
          <w:sz w:val="32"/>
          <w:szCs w:val="32"/>
          <w:shd w:val="clear" w:color="auto" w:fill="FFFFFF"/>
        </w:rPr>
        <w:t>（二）评价指标分析（或综合评价情况）。</w:t>
      </w:r>
      <w:r>
        <w:rPr>
          <w:rFonts w:hint="eastAsia" w:ascii="仿宋" w:hAnsi="仿宋" w:eastAsia="仿宋" w:cs="仿宋"/>
          <w:sz w:val="32"/>
          <w:szCs w:val="32"/>
        </w:rPr>
        <w:t>1.预算配置。包括：在职人员控制率100%、“三公经费”变动率0。</w:t>
      </w:r>
    </w:p>
    <w:p w14:paraId="15CDBAE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2.预算执行。包括：预算完成率98%、预算控制率100%、结转结余率、公用经费控制率100%、 “三公经费”控制率100%、非税收入管理、非税收入完成率100%、政府采购率100%。</w:t>
      </w:r>
    </w:p>
    <w:p w14:paraId="6E7A797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3.预算管理。包括：管理制度健全、资金使用合规、会计资料报送的及时、预决算信息公开和完善。</w:t>
      </w:r>
    </w:p>
    <w:p w14:paraId="0A8512CD">
      <w:pPr>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4.资产管理。</w:t>
      </w:r>
      <w:r>
        <w:rPr>
          <w:rFonts w:hint="eastAsia" w:ascii="仿宋" w:hAnsi="仿宋" w:eastAsia="仿宋" w:cs="仿宋"/>
          <w:sz w:val="32"/>
          <w:szCs w:val="32"/>
        </w:rPr>
        <w:t>包括：资产管理制度健全、固定资产登记率100%。</w:t>
      </w:r>
    </w:p>
    <w:p w14:paraId="6C0D1198">
      <w:pPr>
        <w:shd w:val="clear" w:color="auto" w:fill="FFFFFF"/>
        <w:spacing w:line="640" w:lineRule="exact"/>
        <w:ind w:firstLine="640" w:firstLineChars="200"/>
        <w:rPr>
          <w:rFonts w:ascii="仿宋" w:hAnsi="仿宋" w:eastAsia="仿宋" w:cs="仿宋"/>
          <w:spacing w:val="-2"/>
          <w:sz w:val="30"/>
          <w:szCs w:val="30"/>
        </w:rPr>
      </w:pPr>
      <w:r>
        <w:rPr>
          <w:rFonts w:hint="eastAsia" w:ascii="仿宋" w:hAnsi="仿宋" w:eastAsia="仿宋" w:cs="仿宋"/>
          <w:sz w:val="32"/>
          <w:szCs w:val="32"/>
        </w:rPr>
        <w:t>5.职责履行。包括：重点工作实际完成率100%。</w:t>
      </w:r>
      <w:r>
        <w:rPr>
          <w:rFonts w:hint="eastAsia" w:ascii="仿宋" w:hAnsi="仿宋" w:eastAsia="仿宋" w:cs="仿宋"/>
          <w:spacing w:val="-2"/>
          <w:sz w:val="30"/>
          <w:szCs w:val="30"/>
        </w:rPr>
        <w:t>一、古尸保护经费10万元。二：龙兴讲寺免费开放经费40万元。三、王家大院经费24.91万元。四、文物保护经费251万元。五、非遗经费29.52万元。六、专项业务费41万元。</w:t>
      </w:r>
    </w:p>
    <w:p w14:paraId="150E8B1C">
      <w:pPr>
        <w:shd w:val="clear" w:color="auto" w:fill="FFFFFF"/>
        <w:spacing w:line="640" w:lineRule="exact"/>
        <w:ind w:firstLine="640" w:firstLineChars="200"/>
        <w:rPr>
          <w:rFonts w:ascii="仿宋" w:hAnsi="仿宋" w:eastAsia="仿宋" w:cs="仿宋"/>
          <w:spacing w:val="-2"/>
          <w:sz w:val="30"/>
          <w:szCs w:val="30"/>
        </w:rPr>
      </w:pPr>
      <w:r>
        <w:rPr>
          <w:rFonts w:hint="eastAsia" w:ascii="仿宋" w:hAnsi="仿宋" w:eastAsia="仿宋" w:cs="仿宋"/>
          <w:sz w:val="32"/>
          <w:szCs w:val="32"/>
        </w:rPr>
        <w:t>6.履职效益。包括：部门整体支出所产生的经济效益、社会效益、生态效益、行政效能、社会公众或服务对象满意度等。</w:t>
      </w:r>
      <w:r>
        <w:rPr>
          <w:rFonts w:hint="eastAsia" w:ascii="仿宋" w:hAnsi="仿宋" w:eastAsia="仿宋" w:cs="仿宋"/>
          <w:spacing w:val="-2"/>
          <w:sz w:val="30"/>
          <w:szCs w:val="30"/>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0DD68B58">
      <w:pPr>
        <w:pStyle w:val="7"/>
        <w:widowControl/>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七、存在的问题及原因分析</w:t>
      </w:r>
    </w:p>
    <w:p w14:paraId="36EBE7EF">
      <w:pPr>
        <w:pStyle w:val="7"/>
        <w:widowControl/>
        <w:shd w:val="clear" w:color="auto" w:fill="FFFFFF"/>
        <w:snapToGrid w:val="0"/>
        <w:spacing w:beforeAutospacing="0" w:afterAutospacing="0" w:line="520" w:lineRule="exact"/>
        <w:ind w:firstLine="592" w:firstLineChars="200"/>
        <w:rPr>
          <w:rFonts w:ascii="仿宋" w:hAnsi="仿宋" w:eastAsia="仿宋" w:cs="仿宋"/>
          <w:color w:val="000000"/>
          <w:sz w:val="32"/>
          <w:szCs w:val="32"/>
          <w:shd w:val="clear" w:color="auto" w:fill="FFFFFF"/>
        </w:rPr>
      </w:pPr>
      <w:r>
        <w:rPr>
          <w:rFonts w:hint="eastAsia" w:ascii="仿宋" w:hAnsi="仿宋" w:eastAsia="仿宋" w:cs="仿宋"/>
          <w:spacing w:val="-2"/>
          <w:sz w:val="30"/>
          <w:szCs w:val="30"/>
        </w:rPr>
        <w:t>主要是资金安排、使用，资产管理过程中存在的问题。1、因单位全额编制少导致经费不足，绩效工资和日常公用经费不足，与实际支出相差较大。2、公用经费控制有一定难度，基本为刚性支出。3、规范各类资产的购置审批制度，完善资产管理。</w:t>
      </w:r>
    </w:p>
    <w:p w14:paraId="6A5CB7A3">
      <w:pPr>
        <w:spacing w:line="640" w:lineRule="exact"/>
        <w:ind w:firstLine="320" w:firstLineChars="100"/>
        <w:rPr>
          <w:rFonts w:ascii="仿宋" w:hAnsi="仿宋" w:eastAsia="仿宋" w:cs="仿宋"/>
          <w:spacing w:val="-2"/>
          <w:sz w:val="30"/>
          <w:szCs w:val="30"/>
        </w:rPr>
      </w:pPr>
      <w:r>
        <w:rPr>
          <w:rFonts w:hint="eastAsia" w:ascii="仿宋" w:hAnsi="仿宋" w:eastAsia="仿宋" w:cs="仿宋"/>
          <w:color w:val="000000"/>
          <w:kern w:val="0"/>
          <w:sz w:val="32"/>
          <w:szCs w:val="32"/>
          <w:shd w:val="clear" w:color="auto" w:fill="FFFFFF"/>
        </w:rPr>
        <w:t xml:space="preserve">八、下一步改进措施  </w:t>
      </w:r>
      <w:r>
        <w:rPr>
          <w:rFonts w:hint="eastAsia" w:ascii="仿宋" w:hAnsi="仿宋" w:eastAsia="仿宋" w:cs="仿宋"/>
          <w:spacing w:val="-2"/>
          <w:sz w:val="30"/>
          <w:szCs w:val="30"/>
        </w:rPr>
        <w:t>结合我单位各项经济科目实际执行情况，将项目细化到对应的部门经济科目提高经济科目编制的准确性。加强财务管理，严格财务审核。</w:t>
      </w:r>
    </w:p>
    <w:p w14:paraId="7335C706">
      <w:pPr>
        <w:pStyle w:val="7"/>
        <w:widowControl/>
        <w:shd w:val="clear" w:color="auto" w:fill="FFFFFF"/>
        <w:snapToGrid w:val="0"/>
        <w:spacing w:beforeAutospacing="0" w:afterAutospacing="0" w:line="520" w:lineRule="exact"/>
        <w:rPr>
          <w:rFonts w:ascii="仿宋" w:hAnsi="仿宋" w:eastAsia="仿宋" w:cs="仿宋"/>
          <w:color w:val="000000"/>
          <w:sz w:val="32"/>
          <w:szCs w:val="32"/>
          <w:shd w:val="clear" w:color="auto" w:fill="FFFFFF"/>
        </w:rPr>
      </w:pPr>
    </w:p>
    <w:p w14:paraId="108ED280">
      <w:pPr>
        <w:pStyle w:val="7"/>
        <w:widowControl/>
        <w:shd w:val="clear" w:color="auto" w:fill="FFFFFF"/>
        <w:snapToGrid w:val="0"/>
        <w:spacing w:beforeAutospacing="0" w:afterAutospacing="0" w:line="520" w:lineRule="exact"/>
        <w:ind w:firstLine="320" w:firstLineChars="1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九、其他需要说明的情况 无</w:t>
      </w:r>
    </w:p>
    <w:p w14:paraId="0EE8C11A">
      <w:pPr>
        <w:pStyle w:val="7"/>
        <w:widowControl/>
        <w:shd w:val="clear" w:color="auto" w:fill="FFFFFF"/>
        <w:snapToGrid w:val="0"/>
        <w:spacing w:beforeAutospacing="0" w:afterAutospacing="0" w:line="520" w:lineRule="exact"/>
        <w:rPr>
          <w:rFonts w:ascii="仿宋" w:hAnsi="仿宋" w:eastAsia="仿宋" w:cs="仿宋"/>
          <w:color w:val="000000"/>
        </w:rPr>
      </w:pPr>
    </w:p>
    <w:p w14:paraId="5F5BD72B">
      <w:pPr>
        <w:pStyle w:val="7"/>
        <w:widowControl/>
        <w:shd w:val="clear" w:color="auto" w:fill="FFFFFF"/>
        <w:spacing w:beforeAutospacing="0" w:afterAutospacing="0" w:line="480" w:lineRule="atLeast"/>
        <w:jc w:val="both"/>
        <w:rPr>
          <w:rFonts w:ascii="仿宋" w:hAnsi="仿宋" w:eastAsia="仿宋" w:cs="仿宋"/>
          <w:color w:val="000000"/>
        </w:rPr>
      </w:pPr>
    </w:p>
    <w:p w14:paraId="4CEDBD19">
      <w:pPr>
        <w:pStyle w:val="7"/>
        <w:widowControl/>
        <w:shd w:val="clear" w:color="auto" w:fill="FFFFFF"/>
        <w:spacing w:beforeAutospacing="0" w:afterAutospacing="0" w:line="480" w:lineRule="atLeast"/>
        <w:jc w:val="both"/>
        <w:rPr>
          <w:rFonts w:ascii="仿宋" w:hAnsi="仿宋" w:eastAsia="仿宋" w:cs="仿宋"/>
          <w:color w:val="000000"/>
        </w:rPr>
      </w:pPr>
    </w:p>
    <w:p w14:paraId="18AA8B1A">
      <w:pPr>
        <w:pStyle w:val="7"/>
        <w:widowControl/>
        <w:shd w:val="clear" w:color="auto" w:fill="FFFFFF"/>
        <w:spacing w:beforeAutospacing="0" w:afterAutospacing="0" w:line="480" w:lineRule="atLeast"/>
        <w:jc w:val="both"/>
        <w:rPr>
          <w:rFonts w:ascii="仿宋" w:hAnsi="仿宋" w:eastAsia="仿宋" w:cs="仿宋"/>
          <w:color w:val="000000"/>
        </w:rPr>
      </w:pPr>
    </w:p>
    <w:p w14:paraId="437EBD8C">
      <w:pPr>
        <w:pStyle w:val="7"/>
        <w:widowControl/>
        <w:shd w:val="clear" w:color="auto" w:fill="FFFFFF"/>
        <w:spacing w:beforeAutospacing="0" w:afterAutospacing="0" w:line="480" w:lineRule="atLeast"/>
        <w:jc w:val="both"/>
        <w:rPr>
          <w:rFonts w:ascii="仿宋" w:hAnsi="仿宋" w:eastAsia="仿宋" w:cs="仿宋"/>
          <w:color w:val="000000"/>
        </w:rPr>
      </w:pPr>
    </w:p>
    <w:p w14:paraId="6001528F">
      <w:pPr>
        <w:pStyle w:val="7"/>
        <w:widowControl/>
        <w:shd w:val="clear" w:color="auto" w:fill="FFFFFF"/>
        <w:spacing w:beforeAutospacing="0" w:afterAutospacing="0" w:line="480" w:lineRule="atLeast"/>
        <w:jc w:val="both"/>
        <w:rPr>
          <w:rFonts w:ascii="仿宋" w:hAnsi="仿宋" w:eastAsia="仿宋" w:cs="仿宋"/>
          <w:color w:val="000000"/>
        </w:rPr>
      </w:pPr>
    </w:p>
    <w:p w14:paraId="1ADF87EC">
      <w:pPr>
        <w:pStyle w:val="7"/>
        <w:widowControl/>
        <w:shd w:val="clear" w:color="auto" w:fill="FFFFFF"/>
        <w:spacing w:beforeAutospacing="0" w:afterAutospacing="0" w:line="480" w:lineRule="atLeast"/>
        <w:jc w:val="both"/>
        <w:rPr>
          <w:rFonts w:ascii="仿宋" w:hAnsi="仿宋" w:eastAsia="仿宋" w:cs="仿宋"/>
          <w:color w:val="000000"/>
        </w:rPr>
      </w:pPr>
    </w:p>
    <w:p w14:paraId="2A2B5012">
      <w:pPr>
        <w:pStyle w:val="7"/>
        <w:widowControl/>
        <w:shd w:val="clear" w:color="auto" w:fill="FFFFFF"/>
        <w:spacing w:beforeAutospacing="0" w:afterAutospacing="0" w:line="480" w:lineRule="atLeast"/>
        <w:jc w:val="both"/>
        <w:rPr>
          <w:rFonts w:ascii="仿宋" w:hAnsi="仿宋" w:eastAsia="仿宋" w:cs="仿宋"/>
          <w:color w:val="000000"/>
        </w:rPr>
      </w:pPr>
    </w:p>
    <w:p w14:paraId="39DA5645">
      <w:pPr>
        <w:pStyle w:val="7"/>
        <w:widowControl/>
        <w:shd w:val="clear" w:color="auto" w:fill="FFFFFF"/>
        <w:spacing w:beforeAutospacing="0" w:afterAutospacing="0" w:line="480" w:lineRule="atLeast"/>
        <w:jc w:val="both"/>
        <w:rPr>
          <w:rFonts w:ascii="仿宋" w:hAnsi="仿宋" w:eastAsia="仿宋" w:cs="仿宋"/>
          <w:color w:val="000000"/>
        </w:rPr>
      </w:pPr>
    </w:p>
    <w:p w14:paraId="08F0D60D">
      <w:pPr>
        <w:pStyle w:val="7"/>
        <w:widowControl/>
        <w:shd w:val="clear" w:color="auto" w:fill="FFFFFF"/>
        <w:spacing w:beforeAutospacing="0" w:afterAutospacing="0" w:line="480" w:lineRule="atLeast"/>
        <w:jc w:val="both"/>
        <w:rPr>
          <w:rFonts w:ascii="仿宋" w:hAnsi="仿宋" w:eastAsia="仿宋" w:cs="仿宋"/>
          <w:color w:val="000000"/>
        </w:rPr>
      </w:pPr>
    </w:p>
    <w:p w14:paraId="16C4EF29">
      <w:pPr>
        <w:pStyle w:val="7"/>
        <w:widowControl/>
        <w:shd w:val="clear" w:color="auto" w:fill="FFFFFF"/>
        <w:spacing w:beforeAutospacing="0" w:afterAutospacing="0" w:line="480" w:lineRule="atLeast"/>
        <w:jc w:val="both"/>
        <w:rPr>
          <w:rFonts w:ascii="仿宋" w:hAnsi="仿宋" w:eastAsia="仿宋" w:cs="仿宋"/>
          <w:color w:val="000000"/>
        </w:rPr>
      </w:pPr>
    </w:p>
    <w:p w14:paraId="07883FA4">
      <w:pPr>
        <w:pStyle w:val="7"/>
        <w:widowControl/>
        <w:shd w:val="clear" w:color="auto" w:fill="FFFFFF"/>
        <w:spacing w:beforeAutospacing="0" w:afterAutospacing="0" w:line="480" w:lineRule="atLeast"/>
        <w:jc w:val="both"/>
        <w:rPr>
          <w:rFonts w:ascii="仿宋" w:hAnsi="仿宋" w:eastAsia="仿宋" w:cs="仿宋"/>
          <w:color w:val="000000"/>
        </w:rPr>
      </w:pPr>
    </w:p>
    <w:p w14:paraId="60C80CBA">
      <w:pPr>
        <w:pStyle w:val="7"/>
        <w:widowControl/>
        <w:shd w:val="clear" w:color="auto" w:fill="FFFFFF"/>
        <w:spacing w:beforeAutospacing="0" w:afterAutospacing="0" w:line="480" w:lineRule="atLeast"/>
        <w:jc w:val="both"/>
        <w:rPr>
          <w:rFonts w:ascii="仿宋" w:hAnsi="仿宋" w:eastAsia="仿宋" w:cs="仿宋"/>
          <w:color w:val="000000"/>
        </w:rPr>
      </w:pPr>
    </w:p>
    <w:p w14:paraId="3278191C">
      <w:pPr>
        <w:pStyle w:val="7"/>
        <w:widowControl/>
        <w:shd w:val="clear" w:color="auto" w:fill="FFFFFF"/>
        <w:spacing w:beforeAutospacing="0" w:afterAutospacing="0" w:line="480" w:lineRule="atLeast"/>
        <w:jc w:val="both"/>
        <w:rPr>
          <w:rFonts w:ascii="仿宋" w:hAnsi="仿宋" w:eastAsia="仿宋" w:cs="仿宋"/>
          <w:color w:val="000000"/>
        </w:rPr>
      </w:pPr>
    </w:p>
    <w:p w14:paraId="18025D91">
      <w:pPr>
        <w:pStyle w:val="7"/>
        <w:widowControl/>
        <w:shd w:val="clear" w:color="auto" w:fill="FFFFFF"/>
        <w:spacing w:beforeAutospacing="0" w:afterAutospacing="0" w:line="480" w:lineRule="exact"/>
        <w:jc w:val="both"/>
        <w:rPr>
          <w:rFonts w:ascii="仿宋" w:hAnsi="仿宋" w:eastAsia="仿宋" w:cs="仿宋"/>
          <w:color w:val="000000"/>
          <w:sz w:val="32"/>
          <w:szCs w:val="32"/>
          <w:shd w:val="clear" w:color="auto" w:fill="FFFFFF"/>
        </w:rPr>
      </w:pPr>
    </w:p>
    <w:p w14:paraId="4199C57F">
      <w:pPr>
        <w:spacing w:line="600" w:lineRule="exact"/>
        <w:rPr>
          <w:rFonts w:ascii="仿宋" w:hAnsi="仿宋" w:eastAsia="仿宋" w:cs="仿宋"/>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D9F704D-E959-472C-B5D3-2A1939F45A45}"/>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WZT-EN">
    <w:altName w:val="宋体"/>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embedRegular r:id="rId2" w:fontKey="{72878F34-0D35-4679-B19C-77DCF350EF07}"/>
  </w:font>
  <w:font w:name="方正小标宋_GBK">
    <w:altName w:val="微软雅黑"/>
    <w:panose1 w:val="00000000000000000000"/>
    <w:charset w:val="86"/>
    <w:family w:val="auto"/>
    <w:pitch w:val="default"/>
    <w:sig w:usb0="00000000" w:usb1="00000000" w:usb2="00000000" w:usb3="00000000" w:csb0="00040000" w:csb1="00000000"/>
    <w:embedRegular r:id="rId3" w:fontKey="{CCA05E76-255D-4757-87F8-18066623D8CD}"/>
  </w:font>
  <w:font w:name="Arial Unicode MS">
    <w:altName w:val="Arial"/>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embedRegular r:id="rId4" w:fontKey="{59C4E7CA-4C60-42D0-8CC1-05811B9EA97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3197">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E242FE">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2E242FE">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E030E"/>
    <w:multiLevelType w:val="singleLevel"/>
    <w:tmpl w:val="9A4E030E"/>
    <w:lvl w:ilvl="0" w:tentative="0">
      <w:start w:val="2"/>
      <w:numFmt w:val="chineseCounting"/>
      <w:suff w:val="nothing"/>
      <w:lvlText w:val="（%1）"/>
      <w:lvlJc w:val="left"/>
      <w:rPr>
        <w:rFonts w:hint="eastAsia"/>
      </w:rPr>
    </w:lvl>
  </w:abstractNum>
  <w:abstractNum w:abstractNumId="1">
    <w:nsid w:val="A6117112"/>
    <w:multiLevelType w:val="singleLevel"/>
    <w:tmpl w:val="A611711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242E38"/>
    <w:rsid w:val="00C351B3"/>
    <w:rsid w:val="00C46A6C"/>
    <w:rsid w:val="05E95AA6"/>
    <w:rsid w:val="0C180A78"/>
    <w:rsid w:val="0CAF7D6D"/>
    <w:rsid w:val="0D276746"/>
    <w:rsid w:val="0D464D9C"/>
    <w:rsid w:val="0DD52794"/>
    <w:rsid w:val="0E956870"/>
    <w:rsid w:val="10C666A5"/>
    <w:rsid w:val="10D53073"/>
    <w:rsid w:val="1223366A"/>
    <w:rsid w:val="143877FD"/>
    <w:rsid w:val="17C820DA"/>
    <w:rsid w:val="19E805B2"/>
    <w:rsid w:val="1FC24F0D"/>
    <w:rsid w:val="22FE234B"/>
    <w:rsid w:val="277E6F02"/>
    <w:rsid w:val="29990575"/>
    <w:rsid w:val="2AF6742D"/>
    <w:rsid w:val="2E833798"/>
    <w:rsid w:val="312A2265"/>
    <w:rsid w:val="344F6C8D"/>
    <w:rsid w:val="34A44525"/>
    <w:rsid w:val="36FC0F5D"/>
    <w:rsid w:val="375773F8"/>
    <w:rsid w:val="38CC5315"/>
    <w:rsid w:val="393E32BB"/>
    <w:rsid w:val="3F4A6812"/>
    <w:rsid w:val="3FD1522B"/>
    <w:rsid w:val="419B2857"/>
    <w:rsid w:val="41D71DA8"/>
    <w:rsid w:val="45D249F5"/>
    <w:rsid w:val="4C6611ED"/>
    <w:rsid w:val="4DEF7A42"/>
    <w:rsid w:val="552A0475"/>
    <w:rsid w:val="578D10CB"/>
    <w:rsid w:val="5A5915AC"/>
    <w:rsid w:val="65AA2F63"/>
    <w:rsid w:val="677F58FF"/>
    <w:rsid w:val="68800D77"/>
    <w:rsid w:val="6A12486A"/>
    <w:rsid w:val="6FAF27B6"/>
    <w:rsid w:val="74F675DD"/>
    <w:rsid w:val="753C4E9B"/>
    <w:rsid w:val="77CA616D"/>
    <w:rsid w:val="781113A7"/>
    <w:rsid w:val="791E6510"/>
    <w:rsid w:val="79A63A67"/>
    <w:rsid w:val="7C8D4A41"/>
    <w:rsid w:val="7C9048DB"/>
    <w:rsid w:val="7EDF5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560" w:lineRule="exact"/>
      <w:ind w:firstLine="883" w:firstLineChars="200"/>
    </w:pPr>
    <w:rPr>
      <w:rFonts w:ascii="GWZT-EN" w:hAnsi="Times New Roman" w:eastAsia="仿宋"/>
      <w:sz w:val="32"/>
      <w:szCs w:val="20"/>
    </w:rPr>
  </w:style>
  <w:style w:type="paragraph" w:styleId="4">
    <w:name w:val="Body Text Indent"/>
    <w:basedOn w:val="1"/>
    <w:autoRedefine/>
    <w:unhideWhenUsed/>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Body Text First Indent 2"/>
    <w:basedOn w:val="4"/>
    <w:autoRedefine/>
    <w:unhideWhenUsed/>
    <w:qFormat/>
    <w:uiPriority w:val="99"/>
    <w:pPr>
      <w:ind w:firstLine="420"/>
    </w:pPr>
  </w:style>
  <w:style w:type="paragraph" w:customStyle="1" w:styleId="11">
    <w:name w:val="标题1"/>
    <w:basedOn w:val="3"/>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1883</Words>
  <Characters>2037</Characters>
  <Lines>14</Lines>
  <Paragraphs>4</Paragraphs>
  <TotalTime>47</TotalTime>
  <ScaleCrop>false</ScaleCrop>
  <LinksUpToDate>false</LinksUpToDate>
  <CharactersWithSpaces>2054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2025-10-30T02:55:42Z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64C1480116F5492891C5D2B01290FB87_13</vt:lpwstr>
  </property>
  <property fmtid="{D5CDD505-2E9C-101B-9397-08002B2CF9AE}" pid="4" name="KSOTemplateDocerSaveRecord">
    <vt:lpwstr>eyJoZGlkIjoiZWQwZjNkODU0YWU0ZjZlNDczZTAwZDVkZjc1ZGNkMmQifQ==</vt:lpwstr>
  </property>
</Properties>
</file>