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29991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jc w:val="both"/>
        <w:rPr>
          <w:rFonts w:ascii="方正小标宋_GBK" w:hAnsi="方正小标宋_GBK" w:eastAsia="方正仿宋_GB2312" w:cs="方正小标宋_GBK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</w:rPr>
        <w:t>附件4</w:t>
      </w:r>
    </w:p>
    <w:bookmarkEnd w:id="0"/>
    <w:p w14:paraId="2EE57C73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779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部门整体支出绩效自评报告</w:t>
      </w:r>
    </w:p>
    <w:p w14:paraId="3BF75EAD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25"/>
        <w:jc w:val="center"/>
        <w:rPr>
          <w:rFonts w:ascii="方正小标宋_GBK" w:hAnsi="方正小标宋_GBK" w:eastAsia="方正小标宋_GBK" w:cs="方正小标宋_GBK"/>
          <w:color w:val="000000"/>
        </w:rPr>
      </w:pPr>
    </w:p>
    <w:p w14:paraId="368D5E1A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25"/>
        <w:jc w:val="center"/>
        <w:rPr>
          <w:rFonts w:ascii="仿宋_GB2312" w:eastAsia="仿宋_GB2312" w:cs="仿宋_GB2312"/>
          <w:color w:val="000000"/>
        </w:rPr>
      </w:pPr>
    </w:p>
    <w:p w14:paraId="4C9C7C0D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标准粗黑" w:hAnsi="标准粗黑" w:eastAsia="标准粗黑" w:cs="标准粗黑"/>
          <w:color w:val="000000"/>
          <w:sz w:val="32"/>
          <w:szCs w:val="32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</w:rPr>
        <w:t>一、部门、单位基本情况</w:t>
      </w:r>
    </w:p>
    <w:p w14:paraId="7F8E5794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（一）机构设置情况</w:t>
      </w:r>
    </w:p>
    <w:p w14:paraId="7696DE83">
      <w:pPr>
        <w:shd w:val="clear" w:color="auto" w:fill="FFFFFF"/>
        <w:spacing w:line="400" w:lineRule="exact"/>
        <w:ind w:firstLine="641"/>
        <w:rPr>
          <w:rFonts w:ascii="华文仿宋" w:hAnsi="华文仿宋" w:eastAsia="华文仿宋" w:cs="楷体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学校</w:t>
      </w:r>
      <w:r>
        <w:rPr>
          <w:rFonts w:hint="eastAsia" w:ascii="华文仿宋" w:hAnsi="华文仿宋" w:eastAsia="华文仿宋" w:cs="仿宋_GB2312"/>
          <w:kern w:val="0"/>
          <w:sz w:val="32"/>
          <w:szCs w:val="32"/>
        </w:rPr>
        <w:t>现设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有校长室</w:t>
      </w:r>
      <w:r>
        <w:rPr>
          <w:rFonts w:hint="eastAsia" w:ascii="华文仿宋" w:hAnsi="华文仿宋" w:eastAsia="华文仿宋" w:cs="___WRD_EMBED_SUB_46"/>
          <w:kern w:val="0"/>
          <w:sz w:val="32"/>
          <w:szCs w:val="32"/>
        </w:rPr>
        <w:t>、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党</w:t>
      </w:r>
      <w:r>
        <w:rPr>
          <w:rFonts w:hint="eastAsia" w:ascii="华文仿宋" w:hAnsi="华文仿宋" w:eastAsia="华文仿宋" w:cs="___WRD_EMBED_SUB_46"/>
          <w:kern w:val="0"/>
          <w:sz w:val="32"/>
          <w:szCs w:val="32"/>
        </w:rPr>
        <w:t>支部、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教务处</w:t>
      </w:r>
      <w:r>
        <w:rPr>
          <w:rFonts w:hint="eastAsia" w:ascii="华文仿宋" w:hAnsi="华文仿宋" w:eastAsia="华文仿宋" w:cs="___WRD_EMBED_SUB_46"/>
          <w:kern w:val="0"/>
          <w:sz w:val="32"/>
          <w:szCs w:val="32"/>
        </w:rPr>
        <w:t>、综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治办</w:t>
      </w:r>
      <w:r>
        <w:rPr>
          <w:rFonts w:hint="eastAsia" w:ascii="华文仿宋" w:hAnsi="华文仿宋" w:eastAsia="华文仿宋" w:cs="仿宋_GB2312"/>
          <w:kern w:val="0"/>
          <w:sz w:val="32"/>
          <w:szCs w:val="32"/>
        </w:rPr>
        <w:t>、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总务室</w:t>
      </w:r>
      <w:r>
        <w:rPr>
          <w:rFonts w:hint="eastAsia" w:ascii="华文仿宋" w:hAnsi="华文仿宋" w:eastAsia="华文仿宋" w:cs="___WRD_EMBED_SUB_46"/>
          <w:kern w:val="0"/>
          <w:sz w:val="32"/>
          <w:szCs w:val="32"/>
        </w:rPr>
        <w:t>、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工会</w:t>
      </w:r>
      <w:r>
        <w:rPr>
          <w:rFonts w:hint="eastAsia" w:ascii="华文仿宋" w:hAnsi="华文仿宋" w:eastAsia="华文仿宋" w:cs="___WRD_EMBED_SUB_46"/>
          <w:kern w:val="0"/>
          <w:sz w:val="32"/>
          <w:szCs w:val="32"/>
        </w:rPr>
        <w:t>等</w:t>
      </w:r>
      <w:r>
        <w:rPr>
          <w:rFonts w:hint="eastAsia" w:ascii="华文仿宋" w:hAnsi="华文仿宋" w:eastAsia="华文仿宋" w:cs="仿宋_GB2312"/>
          <w:kern w:val="0"/>
          <w:sz w:val="32"/>
          <w:szCs w:val="32"/>
        </w:rPr>
        <w:t>。</w:t>
      </w:r>
    </w:p>
    <w:p w14:paraId="11DC364B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（二）人员编制情况</w:t>
      </w:r>
    </w:p>
    <w:p w14:paraId="7F3A0716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宋体" w:hAnsi="宋体" w:eastAsia="宋体" w:cs="宋体"/>
          <w:color w:val="000000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本单位属全额拨款事业单位，现有编制2人，其中管理岗</w:t>
      </w:r>
      <w:r>
        <w:rPr>
          <w:rFonts w:hint="eastAsia" w:ascii="华文仿宋" w:hAnsi="华文仿宋" w:eastAsia="华文仿宋" w:cs="仿宋_GB2312"/>
          <w:sz w:val="32"/>
          <w:szCs w:val="32"/>
        </w:rPr>
        <w:t>0</w:t>
      </w:r>
      <w:r>
        <w:rPr>
          <w:rFonts w:hint="eastAsia" w:ascii="华文仿宋" w:hAnsi="华文仿宋" w:eastAsia="华文仿宋" w:cs="宋体"/>
          <w:sz w:val="32"/>
          <w:szCs w:val="32"/>
        </w:rPr>
        <w:t>人</w:t>
      </w:r>
      <w:r>
        <w:rPr>
          <w:rFonts w:hint="eastAsia" w:ascii="华文仿宋" w:hAnsi="华文仿宋" w:eastAsia="华文仿宋" w:cs="___WRD_EMBED_SUB_46"/>
          <w:sz w:val="32"/>
          <w:szCs w:val="32"/>
        </w:rPr>
        <w:t>、</w:t>
      </w:r>
      <w:r>
        <w:rPr>
          <w:rFonts w:hint="eastAsia" w:ascii="华文仿宋" w:hAnsi="华文仿宋" w:eastAsia="华文仿宋" w:cs="宋体"/>
          <w:sz w:val="32"/>
          <w:szCs w:val="32"/>
        </w:rPr>
        <w:t>专</w:t>
      </w:r>
      <w:r>
        <w:rPr>
          <w:rFonts w:hint="eastAsia" w:ascii="华文仿宋" w:hAnsi="华文仿宋" w:eastAsia="华文仿宋" w:cs="___WRD_EMBED_SUB_46"/>
          <w:sz w:val="32"/>
          <w:szCs w:val="32"/>
        </w:rPr>
        <w:t>业</w:t>
      </w:r>
      <w:r>
        <w:rPr>
          <w:rFonts w:hint="eastAsia" w:ascii="华文仿宋" w:hAnsi="华文仿宋" w:eastAsia="华文仿宋" w:cs="宋体"/>
          <w:sz w:val="32"/>
          <w:szCs w:val="32"/>
        </w:rPr>
        <w:t>技术岗位</w:t>
      </w:r>
      <w:r>
        <w:rPr>
          <w:rFonts w:hint="eastAsia" w:ascii="华文仿宋" w:hAnsi="华文仿宋" w:eastAsia="华文仿宋" w:cs="仿宋_GB2312"/>
          <w:sz w:val="32"/>
          <w:szCs w:val="32"/>
        </w:rPr>
        <w:t>2</w:t>
      </w:r>
      <w:r>
        <w:rPr>
          <w:rFonts w:hint="eastAsia" w:ascii="华文仿宋" w:hAnsi="华文仿宋" w:eastAsia="华文仿宋" w:cs="宋体"/>
          <w:sz w:val="32"/>
          <w:szCs w:val="32"/>
        </w:rPr>
        <w:t>人</w:t>
      </w:r>
      <w:r>
        <w:rPr>
          <w:rFonts w:hint="eastAsia" w:ascii="华文仿宋" w:hAnsi="华文仿宋" w:eastAsia="华文仿宋" w:cs="___WRD_EMBED_SUB_46"/>
          <w:sz w:val="32"/>
          <w:szCs w:val="32"/>
        </w:rPr>
        <w:t>、</w:t>
      </w:r>
      <w:r>
        <w:rPr>
          <w:rFonts w:hint="eastAsia" w:ascii="华文仿宋" w:hAnsi="华文仿宋" w:eastAsia="华文仿宋" w:cs="宋体"/>
          <w:sz w:val="32"/>
          <w:szCs w:val="32"/>
        </w:rPr>
        <w:t>工勤</w:t>
      </w:r>
      <w:r>
        <w:rPr>
          <w:rFonts w:hint="eastAsia" w:ascii="华文仿宋" w:hAnsi="华文仿宋" w:eastAsia="华文仿宋" w:cs="仿宋_GB2312"/>
          <w:sz w:val="32"/>
          <w:szCs w:val="32"/>
        </w:rPr>
        <w:t>0</w:t>
      </w:r>
      <w:r>
        <w:rPr>
          <w:rFonts w:hint="eastAsia" w:ascii="华文仿宋" w:hAnsi="华文仿宋" w:eastAsia="华文仿宋" w:cs="宋体"/>
          <w:sz w:val="32"/>
          <w:szCs w:val="32"/>
        </w:rPr>
        <w:t>人</w:t>
      </w:r>
      <w:r>
        <w:rPr>
          <w:rFonts w:hint="eastAsia" w:ascii="华文仿宋" w:hAnsi="华文仿宋" w:eastAsia="华文仿宋" w:cs="___WRD_EMBED_SUB_46"/>
          <w:sz w:val="32"/>
          <w:szCs w:val="32"/>
        </w:rPr>
        <w:t>。</w:t>
      </w:r>
      <w:r>
        <w:rPr>
          <w:rFonts w:hint="eastAsia" w:ascii="华文仿宋" w:hAnsi="华文仿宋" w:eastAsia="华文仿宋" w:cs="宋体"/>
          <w:sz w:val="32"/>
          <w:szCs w:val="32"/>
        </w:rPr>
        <w:t>退休教师</w:t>
      </w:r>
      <w:r>
        <w:rPr>
          <w:rFonts w:hint="eastAsia" w:ascii="华文仿宋" w:hAnsi="华文仿宋" w:eastAsia="华文仿宋" w:cs="仿宋_GB2312"/>
          <w:sz w:val="32"/>
          <w:szCs w:val="32"/>
        </w:rPr>
        <w:t>13</w:t>
      </w:r>
      <w:r>
        <w:rPr>
          <w:rFonts w:hint="eastAsia" w:ascii="华文仿宋" w:hAnsi="华文仿宋" w:eastAsia="华文仿宋" w:cs="宋体"/>
          <w:sz w:val="32"/>
          <w:szCs w:val="32"/>
        </w:rPr>
        <w:t>人</w:t>
      </w:r>
      <w:r>
        <w:rPr>
          <w:rFonts w:hint="eastAsia" w:ascii="华文仿宋" w:hAnsi="华文仿宋" w:eastAsia="华文仿宋" w:cs="___WRD_EMBED_SUB_46"/>
          <w:sz w:val="32"/>
          <w:szCs w:val="32"/>
        </w:rPr>
        <w:t>。</w:t>
      </w:r>
    </w:p>
    <w:p w14:paraId="75983535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（三）主要职能职责</w:t>
      </w:r>
    </w:p>
    <w:p w14:paraId="3F820F62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hint="eastAsia" w:ascii="华文仿宋" w:hAnsi="华文仿宋" w:eastAsia="华文仿宋" w:cs="宋体"/>
          <w:sz w:val="32"/>
          <w:szCs w:val="32"/>
        </w:rPr>
        <w:t xml:space="preserve"> 沅陵县沅陵镇黄草尾中心小学的主要职责是：</w:t>
      </w:r>
    </w:p>
    <w:p w14:paraId="6453381D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ind w:firstLine="480" w:firstLineChars="15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（1）负责贯彻执行国家教育法律法规和方针政策，拟订学校改革与发展规划和计划，并抓好组织实施和落实。</w:t>
      </w:r>
    </w:p>
    <w:p w14:paraId="039D8075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ind w:firstLine="480" w:firstLineChars="15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（2）负责本校基本信息的统计、分析和发布，建立健全学生学籍档案，做好学校贫困生资助等工作。</w:t>
      </w:r>
    </w:p>
    <w:p w14:paraId="1EE01E65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ind w:firstLine="480" w:firstLineChars="15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（3）负责思想政治、综治维稳、安全保卫、德育工作、体育卫生与艺术教育及国防教育工作。</w:t>
      </w:r>
    </w:p>
    <w:p w14:paraId="1B6CA169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ind w:firstLine="480" w:firstLineChars="15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（4）负责教育科研和课堂教学改革工作，协调好学校、家庭、社会三结合教育，全面提高素质教育。</w:t>
      </w:r>
    </w:p>
    <w:p w14:paraId="7DC07A33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ind w:firstLine="480" w:firstLineChars="15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（5）负责统筹规划教师队伍建设；会同有关部门做好教师培养、职称评审、考核考评等工作。</w:t>
      </w:r>
    </w:p>
    <w:p w14:paraId="77028981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ind w:firstLine="480" w:firstLineChars="15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（6）负责学校的教育经费和后勤管理工作，并组织实施好学生营养补助改善工作，承担学校的电化教育、现代远程教育、信息化建设以及教学仪器设备和图书资料管理、各类培训和教学效益评价工作。</w:t>
      </w:r>
    </w:p>
    <w:p w14:paraId="5BF19CB1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ind w:firstLine="480" w:firstLineChars="15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（7）负责小学计划招生考试工作，组织适龄少年入学，推进普及义务教育。</w:t>
      </w:r>
    </w:p>
    <w:p w14:paraId="6EA15BCF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ind w:firstLine="480" w:firstLineChars="150"/>
        <w:rPr>
          <w:rFonts w:ascii="宋体" w:hAnsi="宋体" w:eastAsia="宋体" w:cs="宋体"/>
          <w:color w:val="000000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（8）完成上级主管部门交办的其他工作事项。</w:t>
      </w:r>
    </w:p>
    <w:p w14:paraId="77A735D9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（四）绩效目标设定情况</w:t>
      </w:r>
    </w:p>
    <w:p w14:paraId="121ABA74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学校以“质量提升、特色发展、安全稳定”为目标，2024年将强化教学教研管理，提升教育教学质量；加强劳动课与美育融合，培养审美与劳动意识；实施教师素质提升工程，促进专业成长；抓细学生习惯养成，整合家校社资源；推进“书香校园”建设，丰富文化活动；加强安全教育，确保校园安全；优化后勤管理，提高服务质量，全面提升办学水平与社会满意度。</w:t>
      </w:r>
    </w:p>
    <w:p w14:paraId="47141D68">
      <w:pPr>
        <w:snapToGrid w:val="0"/>
        <w:spacing w:line="520" w:lineRule="exact"/>
        <w:rPr>
          <w:rFonts w:ascii="标准粗黑" w:hAnsi="标准粗黑" w:eastAsia="标准粗黑" w:cs="标准粗黑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标准粗黑" w:hAnsi="标准粗黑" w:eastAsia="标准粗黑" w:cs="标准粗黑"/>
          <w:color w:val="000000"/>
          <w:kern w:val="0"/>
          <w:sz w:val="32"/>
          <w:szCs w:val="32"/>
          <w:shd w:val="clear" w:color="auto" w:fill="FFFFFF"/>
          <w:lang w:bidi="ar"/>
        </w:rPr>
        <w:t>二、部门整体支出管理及使用情况</w:t>
      </w:r>
    </w:p>
    <w:p w14:paraId="20570576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（一）</w:t>
      </w: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  <w:t>预算执行、使用、管理总体情况。</w:t>
      </w:r>
    </w:p>
    <w:p w14:paraId="78193AF3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本年度全年预算数为31.68万元，其中一般公共预算31.68万元，其他资金0万元。</w:t>
      </w:r>
    </w:p>
    <w:p w14:paraId="33203259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2024年部门整体支出决算数为31.68万元，预算执行率100%。其中：基本支出31.68万元、项目支出0万元。资金的使用方向为保障单位机构正常运转、完成日常工作任务而发生的各项基本支出，包括基本工资、津补贴、社会保障缴费及公积金等人员经费及办公费、印刷费等日常公用经费以及各项项目等相关费用。支出（按功能科目分类）都为教育支出。涉及范围包括工资福利支出、商品和服务支出、对个人、家庭的补助支出和资本性支出。</w:t>
      </w:r>
    </w:p>
    <w:p w14:paraId="7925ABFD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（二）部门预算执行情况</w:t>
      </w:r>
    </w:p>
    <w:p w14:paraId="3BFC9C12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left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1.基本支出情况</w:t>
      </w:r>
    </w:p>
    <w:p w14:paraId="114A2539">
      <w:pPr>
        <w:pStyle w:val="6"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2024年我校实际完成基本支出31.68万元。</w:t>
      </w:r>
    </w:p>
    <w:p w14:paraId="0D654B0A">
      <w:pPr>
        <w:pStyle w:val="6"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1、人员支出29.46万元，占93%，人员经费主要用于在职人员基本工资、绩效工资、奖金、社会保障缴费、住房公积金。人员经费支出严格按照相关政策、标准列支。</w:t>
      </w:r>
    </w:p>
    <w:p w14:paraId="3BB148A0">
      <w:pPr>
        <w:pStyle w:val="6"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2、公用经费支出2.22万，占7%，公用经费主要用于保障学校基本运行而发生的办公费、印刷费、差旅费、工会经费等日常公用经费支出和水电费、维修费、专用材料费、劳务费等支出。公用经费支出经控制运行成本为原则，严格执行部门预算，坚持厉行节约。</w:t>
      </w:r>
    </w:p>
    <w:p w14:paraId="40B041E6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left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2.项目支出情况</w:t>
      </w:r>
    </w:p>
    <w:p w14:paraId="1179A3F2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left="142" w:firstLine="566" w:firstLineChars="177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2024年我校实际完成项目支出0万元，财政根据我校工作开展情况分期分批进行拨付。主要用于基本建设支出。</w:t>
      </w:r>
    </w:p>
    <w:p w14:paraId="0BD17AAB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（三）"三公"经费使用和管理情况</w:t>
      </w:r>
    </w:p>
    <w:p w14:paraId="0281D646">
      <w:pPr>
        <w:pStyle w:val="6"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2024年 “三公” 经费总支出为0.04万元。其中：公车运行维护费支出0万元，2024公务接待支出0.04万元，同预算持平。“三公”经费管理，坚持厉行节约，努力降低运行成本。</w:t>
      </w:r>
    </w:p>
    <w:p w14:paraId="021F75A6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2024年本单位无因公出国(境)费用支出。无公无公务用车购置费用。</w:t>
      </w:r>
    </w:p>
    <w:p w14:paraId="7842B3DF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  <w:t>三、政府性基金预算支出情况</w:t>
      </w:r>
    </w:p>
    <w:p w14:paraId="5C8EC149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本单位无政府性基金支出。</w:t>
      </w:r>
    </w:p>
    <w:p w14:paraId="14DC0B67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  <w:t>四、国有资本经营预算支出情况</w:t>
      </w:r>
    </w:p>
    <w:p w14:paraId="1286712A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宋体" w:hAnsi="宋体" w:eastAsia="宋体" w:cs="宋体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  <w:lang w:bidi="ar"/>
        </w:rPr>
        <w:t xml:space="preserve">    </w:t>
      </w:r>
      <w:r>
        <w:rPr>
          <w:rFonts w:hint="eastAsia" w:ascii="华文仿宋" w:hAnsi="华文仿宋" w:eastAsia="华文仿宋" w:cs="宋体"/>
          <w:sz w:val="32"/>
          <w:szCs w:val="32"/>
        </w:rPr>
        <w:t>本单位无国有资本经营支出。</w:t>
      </w:r>
    </w:p>
    <w:p w14:paraId="79DBBA7C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  <w:t>五、社会保险基金预算支出情况</w:t>
      </w:r>
    </w:p>
    <w:p w14:paraId="0327C7D9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宋体" w:hAnsi="宋体" w:eastAsia="宋体" w:cs="宋体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  <w:lang w:bidi="ar"/>
        </w:rPr>
        <w:t xml:space="preserve">    </w:t>
      </w:r>
      <w:r>
        <w:rPr>
          <w:rFonts w:hint="eastAsia" w:ascii="华文仿宋" w:hAnsi="华文仿宋" w:eastAsia="华文仿宋" w:cs="宋体"/>
          <w:sz w:val="32"/>
          <w:szCs w:val="32"/>
        </w:rPr>
        <w:t>本单位无社会保险基金支出。</w:t>
      </w:r>
    </w:p>
    <w:p w14:paraId="599B64D5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  <w:t>六、部门整体支出绩效情况</w:t>
      </w:r>
    </w:p>
    <w:p w14:paraId="50F16192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（一）综合评价结论。</w:t>
      </w:r>
    </w:p>
    <w:p w14:paraId="477198AE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根据沅陵县财政局《关于开展2024年度部门整体支出和专项支出绩效自评工作的通知》（沅财绩函〔2025〕21号）要求，我单位高度重视，认真按照要求对2024年度的支出进行了绩效自评（自评分98分），等级为优秀。</w:t>
      </w:r>
    </w:p>
    <w:p w14:paraId="0EADFAC3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（二）评价指标分析（或综合评价情况）。</w:t>
      </w:r>
    </w:p>
    <w:p w14:paraId="4C209025">
      <w:pPr>
        <w:pStyle w:val="6"/>
        <w:shd w:val="clear" w:color="auto" w:fill="FFFFFF"/>
        <w:kinsoku w:val="0"/>
        <w:overflowPunct w:val="0"/>
        <w:autoSpaceDE w:val="0"/>
        <w:autoSpaceDN w:val="0"/>
        <w:snapToGrid w:val="0"/>
        <w:spacing w:beforeAutospacing="0" w:afterAutospacing="0" w:line="520" w:lineRule="exact"/>
        <w:ind w:firstLine="707" w:firstLineChars="221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2024年，根据年度工作和项目工作规划，积极履职，强化管理，较好地完成了年度工作目标。通过加强预算收支管理，不断建立健全内部管理制度，梳理内部管理流程，部门整体支出管理情况得到提升。2024年度部门整体支出绩效情况如下：</w:t>
      </w:r>
    </w:p>
    <w:p w14:paraId="6C194416">
      <w:pPr>
        <w:pStyle w:val="6"/>
        <w:shd w:val="clear" w:color="auto" w:fill="FFFFFF"/>
        <w:kinsoku w:val="0"/>
        <w:overflowPunct w:val="0"/>
        <w:autoSpaceDE w:val="0"/>
        <w:autoSpaceDN w:val="0"/>
        <w:snapToGrid w:val="0"/>
        <w:spacing w:beforeAutospacing="0" w:afterAutospacing="0" w:line="520" w:lineRule="exact"/>
        <w:ind w:firstLine="707" w:firstLineChars="221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（一）经济性分析</w:t>
      </w:r>
    </w:p>
    <w:p w14:paraId="784839EB">
      <w:pPr>
        <w:pStyle w:val="6"/>
        <w:shd w:val="clear" w:color="auto" w:fill="FFFFFF"/>
        <w:kinsoku w:val="0"/>
        <w:overflowPunct w:val="0"/>
        <w:autoSpaceDE w:val="0"/>
        <w:autoSpaceDN w:val="0"/>
        <w:snapToGrid w:val="0"/>
        <w:spacing w:beforeAutospacing="0" w:afterAutospacing="0" w:line="520" w:lineRule="exact"/>
        <w:ind w:firstLine="707" w:firstLineChars="221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为提升学校管理与服务意识，2024年进一步加强学校的管理及教育教学工作的检查和指导，各项工作得以顺利开展，各项支出总额控制在预算总额以内，预算资金按照规定管理使用。“三公”经费支出总额较小，实现了费用开支的节约。</w:t>
      </w:r>
    </w:p>
    <w:p w14:paraId="7FCE3A69">
      <w:pPr>
        <w:pStyle w:val="6"/>
        <w:shd w:val="clear" w:color="auto" w:fill="FFFFFF"/>
        <w:kinsoku w:val="0"/>
        <w:overflowPunct w:val="0"/>
        <w:autoSpaceDE w:val="0"/>
        <w:autoSpaceDN w:val="0"/>
        <w:snapToGrid w:val="0"/>
        <w:spacing w:beforeAutospacing="0" w:afterAutospacing="0" w:line="520" w:lineRule="exact"/>
        <w:ind w:firstLine="707" w:firstLineChars="221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（二）效率性分析</w:t>
      </w:r>
    </w:p>
    <w:p w14:paraId="30318678">
      <w:pPr>
        <w:pStyle w:val="6"/>
        <w:shd w:val="clear" w:color="auto" w:fill="FFFFFF"/>
        <w:kinsoku w:val="0"/>
        <w:overflowPunct w:val="0"/>
        <w:autoSpaceDE w:val="0"/>
        <w:autoSpaceDN w:val="0"/>
        <w:snapToGrid w:val="0"/>
        <w:spacing w:beforeAutospacing="0" w:afterAutospacing="0" w:line="520" w:lineRule="exact"/>
        <w:ind w:firstLine="707" w:firstLineChars="221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预算安排的基本支出保障了学校正常的工作运转，预算安排的项目支出保障了部门各项业务工作的顺利实施。2024年各项工作按照计划完成进度良好。</w:t>
      </w:r>
    </w:p>
    <w:p w14:paraId="35E042F2">
      <w:pPr>
        <w:pStyle w:val="6"/>
        <w:shd w:val="clear" w:color="auto" w:fill="FFFFFF"/>
        <w:kinsoku w:val="0"/>
        <w:overflowPunct w:val="0"/>
        <w:autoSpaceDE w:val="0"/>
        <w:autoSpaceDN w:val="0"/>
        <w:snapToGrid w:val="0"/>
        <w:spacing w:beforeAutospacing="0" w:afterAutospacing="0" w:line="520" w:lineRule="exact"/>
        <w:ind w:firstLine="707" w:firstLineChars="221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（三）有效性分析</w:t>
      </w:r>
    </w:p>
    <w:p w14:paraId="660BA558">
      <w:pPr>
        <w:pStyle w:val="6"/>
        <w:shd w:val="clear" w:color="auto" w:fill="FFFFFF"/>
        <w:kinsoku w:val="0"/>
        <w:overflowPunct w:val="0"/>
        <w:autoSpaceDE w:val="0"/>
        <w:autoSpaceDN w:val="0"/>
        <w:snapToGrid w:val="0"/>
        <w:spacing w:beforeAutospacing="0" w:afterAutospacing="0" w:line="520" w:lineRule="exact"/>
        <w:ind w:firstLine="707" w:firstLineChars="221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2024年，认真贯彻县主管部门决策部署，明确分工，按照年初工作安排较好地完成各项工作任务，并取得较好的成绩。</w:t>
      </w:r>
    </w:p>
    <w:p w14:paraId="2AD4EFC5">
      <w:pPr>
        <w:pStyle w:val="6"/>
        <w:shd w:val="clear" w:color="auto" w:fill="FFFFFF"/>
        <w:kinsoku w:val="0"/>
        <w:overflowPunct w:val="0"/>
        <w:autoSpaceDE w:val="0"/>
        <w:autoSpaceDN w:val="0"/>
        <w:snapToGrid w:val="0"/>
        <w:spacing w:beforeAutospacing="0" w:afterAutospacing="0" w:line="520" w:lineRule="exact"/>
        <w:ind w:firstLine="707" w:firstLineChars="221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（四）可持续性分析</w:t>
      </w:r>
    </w:p>
    <w:p w14:paraId="0CAEAB5B">
      <w:pPr>
        <w:pStyle w:val="6"/>
        <w:shd w:val="clear" w:color="auto" w:fill="FFFFFF"/>
        <w:kinsoku w:val="0"/>
        <w:overflowPunct w:val="0"/>
        <w:autoSpaceDE w:val="0"/>
        <w:autoSpaceDN w:val="0"/>
        <w:snapToGrid w:val="0"/>
        <w:spacing w:beforeAutospacing="0" w:afterAutospacing="0" w:line="520" w:lineRule="exact"/>
        <w:ind w:firstLine="707" w:firstLineChars="221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改善办学条件，提升学校管理，提高教育教学质量促进现代化教育发展，为培养更多的品学兼优的学生奠定了基础。</w:t>
      </w:r>
    </w:p>
    <w:p w14:paraId="2B8087D5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  <w:t>七、存在的问题及原因分析</w:t>
      </w:r>
    </w:p>
    <w:p w14:paraId="328E5C10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</w:rPr>
        <w:t xml:space="preserve">    </w:t>
      </w:r>
      <w:r>
        <w:rPr>
          <w:rFonts w:hint="eastAsia" w:ascii="华文仿宋" w:hAnsi="华文仿宋" w:eastAsia="华文仿宋" w:cs="宋体"/>
          <w:sz w:val="32"/>
          <w:szCs w:val="32"/>
        </w:rPr>
        <w:t>部分资金的报账未及时审核，导致支付出现不及时的现象，从而导致部分工作开展中出现被动的情况。</w:t>
      </w:r>
    </w:p>
    <w:p w14:paraId="360A3C25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  <w:t>八、下一步改进措施</w:t>
      </w:r>
    </w:p>
    <w:p w14:paraId="72F9936B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  <w:lang w:bidi="ar"/>
        </w:rPr>
        <w:t xml:space="preserve">    </w:t>
      </w:r>
      <w:r>
        <w:rPr>
          <w:rFonts w:hint="eastAsia" w:ascii="华文仿宋" w:hAnsi="华文仿宋" w:eastAsia="华文仿宋" w:cs="宋体"/>
          <w:sz w:val="32"/>
          <w:szCs w:val="32"/>
        </w:rPr>
        <w:t>及时进行账务处理，将资金进行合理利用，避免工作的开展中出现被动的情况产生。</w:t>
      </w:r>
    </w:p>
    <w:p w14:paraId="3936DFDA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  <w:t>九、其他需要说明的情况</w:t>
      </w:r>
    </w:p>
    <w:p w14:paraId="7CEFC6FC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无。</w:t>
      </w:r>
    </w:p>
    <w:p w14:paraId="3B0C775E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</w:p>
    <w:p w14:paraId="797F6A29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3260" w:firstLineChars="1019"/>
        <w:jc w:val="center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沅陵县沅陵镇黄草尾中心小学</w:t>
      </w:r>
    </w:p>
    <w:p w14:paraId="529DCB30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3260" w:firstLineChars="1019"/>
        <w:jc w:val="center"/>
        <w:rPr>
          <w:rFonts w:ascii="华文仿宋" w:hAnsi="华文仿宋" w:eastAsia="华文仿宋" w:cs="宋体"/>
          <w:sz w:val="32"/>
          <w:szCs w:val="32"/>
        </w:rPr>
      </w:pPr>
      <w:r>
        <w:rPr>
          <w:rFonts w:ascii="华文仿宋" w:hAnsi="华文仿宋" w:eastAsia="华文仿宋" w:cs="宋体"/>
          <w:sz w:val="32"/>
          <w:szCs w:val="32"/>
        </w:rPr>
        <w:t>2025年5月</w:t>
      </w:r>
      <w:r>
        <w:rPr>
          <w:rFonts w:hint="eastAsia" w:ascii="华文仿宋" w:hAnsi="华文仿宋" w:eastAsia="华文仿宋" w:cs="宋体"/>
          <w:sz w:val="32"/>
          <w:szCs w:val="32"/>
        </w:rPr>
        <w:t>26</w:t>
      </w:r>
      <w:r>
        <w:rPr>
          <w:rFonts w:ascii="华文仿宋" w:hAnsi="华文仿宋" w:eastAsia="华文仿宋" w:cs="宋体"/>
          <w:sz w:val="32"/>
          <w:szCs w:val="32"/>
        </w:rPr>
        <w:t>日</w:t>
      </w:r>
    </w:p>
    <w:sectPr>
      <w:footerReference r:id="rId3" w:type="default"/>
      <w:pgSz w:w="11906" w:h="16838"/>
      <w:pgMar w:top="2098" w:right="1416" w:bottom="156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3EEA230-84A0-4898-8C33-A630D142091F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E51E460-5145-4E7A-B84E-7DB1BFB65305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9AE62A97-0BD2-4B30-A749-3AA1234032FD}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77265C60-8F22-4898-86DB-D1CBAD231B5A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EFC58E0-7FE1-4609-9F15-FD9FFDF7D729}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  <w:embedRegular r:id="rId6" w:fontKey="{79653E15-87DE-4463-8806-ED9267012617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00A315BD-A06B-4AED-B0F4-4DECB9764647}"/>
  </w:font>
  <w:font w:name="___WRD_EMBED_SUB_46">
    <w:altName w:val="宋体"/>
    <w:panose1 w:val="02000503000000000000"/>
    <w:charset w:val="86"/>
    <w:family w:val="auto"/>
    <w:pitch w:val="default"/>
    <w:sig w:usb0="00000000" w:usb1="00000000" w:usb2="00000012" w:usb3="00000000" w:csb0="00040001" w:csb1="00000000"/>
    <w:embedRegular r:id="rId8" w:fontKey="{62F55E56-6B4A-4268-9618-AC3A35AD7A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9B92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511A1E">
                          <w:pPr>
                            <w:pStyle w:val="4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511A1E">
                    <w:pPr>
                      <w:pStyle w:val="4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2312" w:hAnsi="方正仿宋_GB2312" w:eastAsia="方正仿宋_GB2312" w:cs="方正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DNmZGY5ODE4YTVlYjYxZjc0MjRkNGFmZDRkY2UifQ=="/>
    <w:docVar w:name="KSO_WPS_MARK_KEY" w:val="9920a277-c0c3-43b4-93d3-1636fe398e0b"/>
  </w:docVars>
  <w:rsids>
    <w:rsidRoot w:val="753C4E9B"/>
    <w:rsid w:val="0008045F"/>
    <w:rsid w:val="000C50CD"/>
    <w:rsid w:val="00132A0B"/>
    <w:rsid w:val="001E095D"/>
    <w:rsid w:val="001E2E77"/>
    <w:rsid w:val="001F2003"/>
    <w:rsid w:val="001F56E3"/>
    <w:rsid w:val="002704DB"/>
    <w:rsid w:val="00291A4E"/>
    <w:rsid w:val="002A6BE7"/>
    <w:rsid w:val="00343671"/>
    <w:rsid w:val="003D3742"/>
    <w:rsid w:val="004710A6"/>
    <w:rsid w:val="004A70B2"/>
    <w:rsid w:val="004E2781"/>
    <w:rsid w:val="005229D2"/>
    <w:rsid w:val="005D0663"/>
    <w:rsid w:val="006B2CFD"/>
    <w:rsid w:val="006C6F9C"/>
    <w:rsid w:val="00753D37"/>
    <w:rsid w:val="00847CF0"/>
    <w:rsid w:val="00855C47"/>
    <w:rsid w:val="00870DD3"/>
    <w:rsid w:val="00894C3F"/>
    <w:rsid w:val="008963D1"/>
    <w:rsid w:val="008B009A"/>
    <w:rsid w:val="00932A62"/>
    <w:rsid w:val="00986058"/>
    <w:rsid w:val="00AE169F"/>
    <w:rsid w:val="00B22BAB"/>
    <w:rsid w:val="00B909EF"/>
    <w:rsid w:val="00C73457"/>
    <w:rsid w:val="00CD3A10"/>
    <w:rsid w:val="00D075F2"/>
    <w:rsid w:val="00D41498"/>
    <w:rsid w:val="00E5166B"/>
    <w:rsid w:val="00EA3F31"/>
    <w:rsid w:val="00F46111"/>
    <w:rsid w:val="05E95AA6"/>
    <w:rsid w:val="0C180A78"/>
    <w:rsid w:val="0CAF7D6D"/>
    <w:rsid w:val="0D276746"/>
    <w:rsid w:val="0D464D9C"/>
    <w:rsid w:val="0DD52794"/>
    <w:rsid w:val="0E956870"/>
    <w:rsid w:val="10C666A5"/>
    <w:rsid w:val="1223366A"/>
    <w:rsid w:val="143877FD"/>
    <w:rsid w:val="14C934A0"/>
    <w:rsid w:val="17C820DA"/>
    <w:rsid w:val="19E805B2"/>
    <w:rsid w:val="1FC24F0D"/>
    <w:rsid w:val="22FE234B"/>
    <w:rsid w:val="277E6F02"/>
    <w:rsid w:val="29990575"/>
    <w:rsid w:val="2AF6742D"/>
    <w:rsid w:val="2E833798"/>
    <w:rsid w:val="312A2265"/>
    <w:rsid w:val="34A44525"/>
    <w:rsid w:val="36FC0F5D"/>
    <w:rsid w:val="375773F8"/>
    <w:rsid w:val="38CC5315"/>
    <w:rsid w:val="393E32BB"/>
    <w:rsid w:val="419B2857"/>
    <w:rsid w:val="41D71DA8"/>
    <w:rsid w:val="45D249F5"/>
    <w:rsid w:val="4C6611ED"/>
    <w:rsid w:val="4DEF7A42"/>
    <w:rsid w:val="552A0475"/>
    <w:rsid w:val="578D10CB"/>
    <w:rsid w:val="5A5915AC"/>
    <w:rsid w:val="6A12486A"/>
    <w:rsid w:val="6FAF27B6"/>
    <w:rsid w:val="753C4E9B"/>
    <w:rsid w:val="77CA616D"/>
    <w:rsid w:val="781113A7"/>
    <w:rsid w:val="791E6510"/>
    <w:rsid w:val="79A63A67"/>
    <w:rsid w:val="7C8D4A41"/>
    <w:rsid w:val="7C9048DB"/>
    <w:rsid w:val="7ED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HAnsi" w:hAnsiTheme="majorHAnsi" w:cstheme="majorBidi"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unhideWhenUsed/>
    <w:qFormat/>
    <w:uiPriority w:val="0"/>
    <w:pPr>
      <w:ind w:firstLine="640" w:firstLineChars="200"/>
    </w:pPr>
    <w:rPr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3"/>
    <w:autoRedefine/>
    <w:unhideWhenUsed/>
    <w:qFormat/>
    <w:uiPriority w:val="99"/>
    <w:pPr>
      <w:ind w:firstLine="420"/>
    </w:pPr>
  </w:style>
  <w:style w:type="paragraph" w:customStyle="1" w:styleId="10">
    <w:name w:val="标题1"/>
    <w:basedOn w:val="2"/>
    <w:autoRedefine/>
    <w:qFormat/>
    <w:uiPriority w:val="0"/>
    <w:rPr>
      <w:rFonts w:eastAsia="黑体"/>
    </w:rPr>
  </w:style>
  <w:style w:type="paragraph" w:customStyle="1" w:styleId="11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Char"/>
    <w:basedOn w:val="1"/>
    <w:next w:val="1"/>
    <w:qFormat/>
    <w:uiPriority w:val="0"/>
    <w:pPr>
      <w:widowControl/>
      <w:spacing w:line="360" w:lineRule="auto"/>
      <w:jc w:val="left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837FEC-B49C-4798-8954-E0D9EC4267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2095</Words>
  <Characters>2188</Characters>
  <Lines>1</Lines>
  <Paragraphs>4</Paragraphs>
  <TotalTime>128</TotalTime>
  <ScaleCrop>false</ScaleCrop>
  <LinksUpToDate>false</LinksUpToDate>
  <CharactersWithSpaces>2210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2025-05-07T01:05:00Z</dcterms:created>
  <dc:creator>1402836399</dc:creator>
  <cp:lastModifiedBy>Administrator</cp:lastModifiedBy>
  <cp:lastPrinted>2024-02-26T03:24:00Z</cp:lastPrinted>
  <dcterms:modified xsi:type="dcterms:W3CDTF">2025-10-30T09:13:48Z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E402207792904C309C1915F8E60A90F9_13</vt:lpwstr>
  </property>
  <property fmtid="{D5CDD505-2E9C-101B-9397-08002B2CF9AE}" pid="4" name="KSOTemplateDocerSaveRecord">
    <vt:lpwstr>eyJoZGlkIjoiNWEyODA0MGMwYTkzODZkMmRiMmNiZmI1NDc3YTNmNDIiLCJ1c2VySWQiOiI0MTkwMjIxODkifQ==</vt:lpwstr>
  </property>
</Properties>
</file>