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93421">
      <w:pPr>
        <w:jc w:val="center"/>
        <w:rPr>
          <w:szCs w:val="32"/>
        </w:rPr>
      </w:pPr>
      <w:bookmarkStart w:id="0" w:name="_GoBack"/>
      <w:bookmarkEnd w:id="0"/>
    </w:p>
    <w:p w14:paraId="5EE9FA76">
      <w:pPr>
        <w:jc w:val="center"/>
        <w:rPr>
          <w:rFonts w:ascii="宋体" w:hAnsi="宋体" w:cs="宋体"/>
          <w:b/>
          <w:spacing w:val="-2"/>
          <w:sz w:val="44"/>
          <w:szCs w:val="44"/>
        </w:rPr>
      </w:pPr>
      <w:r>
        <w:rPr>
          <w:rFonts w:hint="eastAsia" w:ascii="宋体" w:hAnsi="宋体" w:cs="宋体"/>
          <w:b/>
          <w:spacing w:val="-2"/>
          <w:sz w:val="44"/>
          <w:szCs w:val="44"/>
        </w:rPr>
        <w:t>七甲坪镇2024年部门整体支出绩效</w:t>
      </w:r>
    </w:p>
    <w:p w14:paraId="16CED2DC">
      <w:pPr>
        <w:jc w:val="center"/>
        <w:rPr>
          <w:rFonts w:ascii="宋体" w:hAnsi="宋体" w:cs="宋体"/>
          <w:b/>
          <w:spacing w:val="-2"/>
          <w:sz w:val="44"/>
          <w:szCs w:val="44"/>
        </w:rPr>
      </w:pPr>
      <w:r>
        <w:rPr>
          <w:rFonts w:hint="eastAsia" w:ascii="宋体" w:hAnsi="宋体" w:cs="宋体"/>
          <w:b/>
          <w:spacing w:val="-2"/>
          <w:sz w:val="44"/>
          <w:szCs w:val="44"/>
        </w:rPr>
        <w:t>自评报告</w:t>
      </w:r>
    </w:p>
    <w:p w14:paraId="3DD95A1D">
      <w:pPr>
        <w:widowControl/>
        <w:shd w:val="clear" w:color="auto" w:fill="FFFFFF"/>
        <w:spacing w:line="600" w:lineRule="atLeast"/>
        <w:ind w:firstLine="875"/>
        <w:jc w:val="center"/>
        <w:rPr>
          <w:rFonts w:ascii="宋体" w:hAnsi="宋体" w:cs="宋体"/>
          <w:b/>
          <w:spacing w:val="-2"/>
          <w:sz w:val="44"/>
          <w:szCs w:val="44"/>
        </w:rPr>
      </w:pPr>
    </w:p>
    <w:p w14:paraId="56AFA5FF">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根据《预算法》、《财政部关于预算绩效管理工作考核办法》（财预〔2020〕10号）、《中共湖南省委办公厅湖南省人民政府办公厅关于全面实施预算绩效目标管理的实施意见》（湘办发[2019]10号）等文件文件精神，我单位对2024年度部门整体支出进行了绩效评价,现将有关情况报告如下：</w:t>
      </w:r>
    </w:p>
    <w:p w14:paraId="2054DFFF">
      <w:pPr>
        <w:spacing w:line="640" w:lineRule="exact"/>
        <w:rPr>
          <w:rFonts w:ascii="仿宋" w:hAnsi="仿宋" w:eastAsia="仿宋"/>
          <w:sz w:val="32"/>
          <w:szCs w:val="32"/>
        </w:rPr>
      </w:pPr>
      <w:r>
        <w:rPr>
          <w:rFonts w:hint="eastAsia" w:ascii="仿宋" w:hAnsi="仿宋" w:eastAsia="仿宋"/>
          <w:sz w:val="32"/>
          <w:szCs w:val="32"/>
        </w:rPr>
        <w:t>一、部门概况</w:t>
      </w:r>
    </w:p>
    <w:p w14:paraId="50D8D917">
      <w:pPr>
        <w:spacing w:line="640" w:lineRule="exact"/>
        <w:rPr>
          <w:rFonts w:ascii="仿宋" w:hAnsi="仿宋" w:eastAsia="仿宋"/>
          <w:sz w:val="32"/>
          <w:szCs w:val="32"/>
        </w:rPr>
      </w:pPr>
      <w:r>
        <w:rPr>
          <w:rFonts w:hint="eastAsia" w:ascii="仿宋" w:hAnsi="仿宋" w:eastAsia="仿宋"/>
          <w:sz w:val="32"/>
          <w:szCs w:val="32"/>
        </w:rPr>
        <w:t>（一）部门基本情况</w:t>
      </w:r>
    </w:p>
    <w:p w14:paraId="29E31F8E">
      <w:pPr>
        <w:spacing w:line="640" w:lineRule="exact"/>
        <w:rPr>
          <w:rFonts w:ascii="仿宋" w:hAnsi="仿宋" w:eastAsia="仿宋"/>
          <w:sz w:val="32"/>
          <w:szCs w:val="32"/>
        </w:rPr>
      </w:pPr>
      <w:r>
        <w:rPr>
          <w:rFonts w:hint="eastAsia" w:ascii="仿宋" w:hAnsi="仿宋" w:eastAsia="仿宋"/>
          <w:sz w:val="32"/>
          <w:szCs w:val="32"/>
        </w:rPr>
        <w:t>1、机构人员情况：</w:t>
      </w:r>
    </w:p>
    <w:p w14:paraId="31DAE065">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本单位内设10个机构，其中包括行政机构4个，事业单位6个。截止2024年12月31日，本单位经县编委核定的编制人数为104人（其中行政编制39人，事业编制63人,工勤编制2人）。年末实有人数87人。</w:t>
      </w:r>
    </w:p>
    <w:p w14:paraId="54636E7D">
      <w:pPr>
        <w:spacing w:line="640" w:lineRule="exact"/>
        <w:rPr>
          <w:rFonts w:ascii="仿宋" w:hAnsi="仿宋" w:eastAsia="仿宋"/>
          <w:sz w:val="32"/>
          <w:szCs w:val="32"/>
        </w:rPr>
      </w:pPr>
      <w:r>
        <w:rPr>
          <w:rFonts w:hint="eastAsia" w:ascii="仿宋" w:hAnsi="仿宋" w:eastAsia="仿宋"/>
          <w:sz w:val="32"/>
          <w:szCs w:val="32"/>
        </w:rPr>
        <w:t>2、主要职能：</w:t>
      </w:r>
    </w:p>
    <w:p w14:paraId="4825A996">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我镇坚持以党的十八大、十八届三中、四中、五中全会精神为指导。按照县委、县政府建设的总要求，保证我镇经济、社会、环境有序、快速发展。团结带领全镇广大干部群众，解放思想，抢抓机遇，克服困难，实现七甲坪镇经济和社会事业的全面发展。</w:t>
      </w:r>
    </w:p>
    <w:p w14:paraId="0E6FB54A">
      <w:pPr>
        <w:spacing w:line="640" w:lineRule="exact"/>
        <w:rPr>
          <w:rFonts w:ascii="仿宋" w:hAnsi="仿宋" w:eastAsia="仿宋"/>
          <w:sz w:val="32"/>
          <w:szCs w:val="32"/>
        </w:rPr>
      </w:pPr>
      <w:r>
        <w:rPr>
          <w:rFonts w:hint="eastAsia" w:ascii="仿宋" w:hAnsi="仿宋" w:eastAsia="仿宋"/>
          <w:sz w:val="32"/>
          <w:szCs w:val="32"/>
        </w:rPr>
        <w:t>3、重点工作计划：</w:t>
      </w:r>
    </w:p>
    <w:p w14:paraId="55F4A2CD">
      <w:pPr>
        <w:spacing w:line="560" w:lineRule="exact"/>
        <w:jc w:val="left"/>
        <w:rPr>
          <w:rFonts w:ascii="仿宋" w:hAnsi="仿宋" w:eastAsia="仿宋"/>
          <w:sz w:val="32"/>
          <w:szCs w:val="32"/>
        </w:rPr>
      </w:pPr>
      <w:r>
        <w:rPr>
          <w:rFonts w:hint="eastAsia" w:ascii="仿宋" w:hAnsi="仿宋" w:eastAsia="仿宋"/>
          <w:sz w:val="32"/>
          <w:szCs w:val="32"/>
        </w:rPr>
        <w:t>（一）扎实开展乡村振兴工作。2024年是实现乡村振兴的关键一年，我镇党委、政府的中心工作。</w:t>
      </w:r>
    </w:p>
    <w:p w14:paraId="4F886ACB">
      <w:pPr>
        <w:spacing w:line="560" w:lineRule="exact"/>
        <w:rPr>
          <w:rFonts w:ascii="仿宋" w:hAnsi="仿宋" w:eastAsia="仿宋"/>
          <w:sz w:val="32"/>
          <w:szCs w:val="32"/>
        </w:rPr>
      </w:pPr>
      <w:r>
        <w:rPr>
          <w:rFonts w:hint="eastAsia" w:ascii="仿宋" w:hAnsi="仿宋" w:eastAsia="仿宋"/>
          <w:sz w:val="32"/>
          <w:szCs w:val="32"/>
        </w:rPr>
        <w:t>（二）继续推进基础设施建设，练好基本功。</w:t>
      </w:r>
    </w:p>
    <w:p w14:paraId="018A8CB8">
      <w:pPr>
        <w:spacing w:line="560" w:lineRule="exact"/>
        <w:rPr>
          <w:rFonts w:ascii="仿宋" w:hAnsi="仿宋" w:eastAsia="仿宋"/>
          <w:sz w:val="32"/>
          <w:szCs w:val="32"/>
        </w:rPr>
      </w:pPr>
      <w:r>
        <w:rPr>
          <w:rFonts w:hint="eastAsia" w:ascii="仿宋" w:hAnsi="仿宋" w:eastAsia="仿宋"/>
          <w:sz w:val="32"/>
          <w:szCs w:val="32"/>
        </w:rPr>
        <w:t>（三）强化队伍、转变作风，练好内功。</w:t>
      </w:r>
    </w:p>
    <w:p w14:paraId="400F6535">
      <w:pPr>
        <w:spacing w:line="560" w:lineRule="exact"/>
        <w:rPr>
          <w:rFonts w:ascii="仿宋" w:hAnsi="仿宋" w:eastAsia="仿宋"/>
          <w:sz w:val="32"/>
          <w:szCs w:val="32"/>
        </w:rPr>
      </w:pPr>
      <w:r>
        <w:rPr>
          <w:rFonts w:hint="eastAsia" w:ascii="仿宋" w:hAnsi="仿宋" w:eastAsia="仿宋"/>
          <w:sz w:val="32"/>
          <w:szCs w:val="32"/>
        </w:rPr>
        <w:t>（四）坚定不移推动项目建设，不断增强发展后劲。</w:t>
      </w:r>
    </w:p>
    <w:p w14:paraId="271DB6DB">
      <w:pPr>
        <w:spacing w:line="560" w:lineRule="exact"/>
        <w:jc w:val="left"/>
        <w:rPr>
          <w:rFonts w:ascii="仿宋" w:hAnsi="仿宋" w:eastAsia="仿宋"/>
          <w:sz w:val="32"/>
          <w:szCs w:val="32"/>
        </w:rPr>
      </w:pPr>
      <w:r>
        <w:rPr>
          <w:rFonts w:hint="eastAsia" w:ascii="仿宋" w:hAnsi="仿宋" w:eastAsia="仿宋"/>
          <w:sz w:val="32"/>
          <w:szCs w:val="32"/>
        </w:rPr>
        <w:t>（五）围绕打造服务型政府，切实抓好各项基本基础工作不动摇。</w:t>
      </w:r>
    </w:p>
    <w:p w14:paraId="10FB282C">
      <w:pPr>
        <w:spacing w:line="640" w:lineRule="exact"/>
        <w:rPr>
          <w:rFonts w:ascii="仿宋" w:hAnsi="仿宋" w:eastAsia="仿宋"/>
          <w:sz w:val="32"/>
          <w:szCs w:val="32"/>
        </w:rPr>
      </w:pPr>
      <w:r>
        <w:rPr>
          <w:rFonts w:hint="eastAsia" w:ascii="仿宋" w:hAnsi="仿宋" w:eastAsia="仿宋"/>
          <w:sz w:val="32"/>
          <w:szCs w:val="32"/>
        </w:rPr>
        <w:t>二、部门整体支出绩效评价</w:t>
      </w:r>
    </w:p>
    <w:p w14:paraId="25C0296F">
      <w:pPr>
        <w:spacing w:line="640" w:lineRule="exact"/>
        <w:rPr>
          <w:rFonts w:ascii="仿宋" w:hAnsi="仿宋" w:eastAsia="仿宋"/>
          <w:sz w:val="32"/>
          <w:szCs w:val="32"/>
        </w:rPr>
      </w:pPr>
      <w:r>
        <w:rPr>
          <w:rFonts w:hint="eastAsia" w:ascii="仿宋" w:hAnsi="仿宋" w:eastAsia="仿宋"/>
          <w:sz w:val="32"/>
          <w:szCs w:val="32"/>
        </w:rPr>
        <w:t>（一）部门整体支出规模</w:t>
      </w:r>
    </w:p>
    <w:p w14:paraId="31CE9168">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2024年年度收入</w:t>
      </w:r>
      <w:r>
        <w:rPr>
          <w:rFonts w:ascii="仿宋" w:hAnsi="仿宋" w:eastAsia="仿宋"/>
          <w:sz w:val="32"/>
          <w:szCs w:val="32"/>
        </w:rPr>
        <w:t>2790</w:t>
      </w:r>
      <w:r>
        <w:rPr>
          <w:rFonts w:hint="eastAsia" w:ascii="仿宋" w:hAnsi="仿宋" w:eastAsia="仿宋"/>
          <w:sz w:val="32"/>
          <w:szCs w:val="32"/>
        </w:rPr>
        <w:t>.</w:t>
      </w:r>
      <w:r>
        <w:rPr>
          <w:rFonts w:ascii="仿宋" w:hAnsi="仿宋" w:eastAsia="仿宋"/>
          <w:sz w:val="32"/>
          <w:szCs w:val="32"/>
        </w:rPr>
        <w:t>54</w:t>
      </w:r>
      <w:r>
        <w:rPr>
          <w:rFonts w:hint="eastAsia" w:ascii="仿宋" w:hAnsi="仿宋" w:eastAsia="仿宋"/>
          <w:sz w:val="32"/>
          <w:szCs w:val="32"/>
        </w:rPr>
        <w:t>万元，年初结转和结余0万元，共支出</w:t>
      </w:r>
      <w:r>
        <w:rPr>
          <w:rFonts w:ascii="仿宋" w:hAnsi="仿宋" w:eastAsia="仿宋"/>
          <w:sz w:val="32"/>
          <w:szCs w:val="32"/>
        </w:rPr>
        <w:t>2690</w:t>
      </w:r>
      <w:r>
        <w:rPr>
          <w:rFonts w:hint="eastAsia" w:ascii="仿宋" w:hAnsi="仿宋" w:eastAsia="仿宋"/>
          <w:sz w:val="32"/>
          <w:szCs w:val="32"/>
        </w:rPr>
        <w:t>.</w:t>
      </w:r>
      <w:r>
        <w:rPr>
          <w:rFonts w:ascii="仿宋" w:hAnsi="仿宋" w:eastAsia="仿宋"/>
          <w:sz w:val="32"/>
          <w:szCs w:val="32"/>
        </w:rPr>
        <w:t>54</w:t>
      </w:r>
      <w:r>
        <w:rPr>
          <w:rFonts w:hint="eastAsia" w:ascii="仿宋" w:hAnsi="仿宋" w:eastAsia="仿宋"/>
          <w:sz w:val="32"/>
          <w:szCs w:val="32"/>
        </w:rPr>
        <w:t>万元，结转下年结余0万元。其中：基本支出</w:t>
      </w:r>
      <w:r>
        <w:rPr>
          <w:rFonts w:ascii="仿宋" w:hAnsi="仿宋" w:eastAsia="仿宋"/>
          <w:sz w:val="32"/>
          <w:szCs w:val="32"/>
        </w:rPr>
        <w:t>1403</w:t>
      </w: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9万元、项目支出442.82万元、其他支出843.94。</w:t>
      </w:r>
    </w:p>
    <w:p w14:paraId="7A919F11">
      <w:pPr>
        <w:spacing w:line="640" w:lineRule="exact"/>
        <w:rPr>
          <w:rFonts w:ascii="仿宋" w:hAnsi="仿宋" w:eastAsia="仿宋"/>
          <w:sz w:val="32"/>
          <w:szCs w:val="32"/>
        </w:rPr>
      </w:pPr>
      <w:r>
        <w:rPr>
          <w:rFonts w:hint="eastAsia" w:ascii="仿宋" w:hAnsi="仿宋" w:eastAsia="仿宋"/>
          <w:sz w:val="32"/>
          <w:szCs w:val="32"/>
        </w:rPr>
        <w:t>（二）预算配置</w:t>
      </w:r>
    </w:p>
    <w:p w14:paraId="5AA8EE2F">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本单位经县编委核定的编制人数为104人（其中行政编制39人，事业编制63人,工勤编制2人）。年末实有人数87人，在职控制率100%。2024年“三公经费”决算数37.65万元，2023年“三公经费”决算数31.85万元，“三公经费”比上年增加18.21%，低于“三公经费”控制数39.00万元。</w:t>
      </w:r>
    </w:p>
    <w:p w14:paraId="5E477523">
      <w:pPr>
        <w:spacing w:line="640" w:lineRule="exact"/>
        <w:ind w:firstLine="640" w:firstLineChars="200"/>
        <w:rPr>
          <w:rFonts w:ascii="仿宋" w:hAnsi="仿宋" w:eastAsia="仿宋"/>
          <w:sz w:val="32"/>
          <w:szCs w:val="32"/>
        </w:rPr>
      </w:pPr>
      <w:r>
        <w:rPr>
          <w:rFonts w:hint="eastAsia" w:ascii="仿宋" w:hAnsi="仿宋" w:eastAsia="仿宋"/>
          <w:sz w:val="32"/>
          <w:szCs w:val="32"/>
        </w:rPr>
        <w:t>（三）预算执行</w:t>
      </w:r>
    </w:p>
    <w:p w14:paraId="63D8AAF9">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预算完成率100%，预算控制率0%，结转结余率0%，“三公经费”控制率81.66%,政府采购率100%。</w:t>
      </w:r>
    </w:p>
    <w:p w14:paraId="28DE7DED">
      <w:pPr>
        <w:spacing w:line="640" w:lineRule="exact"/>
        <w:ind w:firstLine="640" w:firstLineChars="200"/>
        <w:rPr>
          <w:rFonts w:ascii="仿宋" w:hAnsi="仿宋" w:eastAsia="仿宋"/>
          <w:sz w:val="32"/>
          <w:szCs w:val="32"/>
        </w:rPr>
      </w:pPr>
      <w:r>
        <w:rPr>
          <w:rFonts w:hint="eastAsia" w:ascii="仿宋" w:hAnsi="仿宋" w:eastAsia="仿宋"/>
          <w:sz w:val="32"/>
          <w:szCs w:val="32"/>
        </w:rPr>
        <w:t>（四）预算管理</w:t>
      </w:r>
    </w:p>
    <w:p w14:paraId="70A73DD9">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1、专项组织情况分析，我镇乡村振兴支出，均用在基础设施、养殖产业发展等方面。对乡村振兴项目实施情况都通过了投资评审、竣工验收等程序。</w:t>
      </w:r>
    </w:p>
    <w:p w14:paraId="624261A1">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2、专项管理情况：为切实规范专项资金管理，保障资金安全、高效运行，发挥资金使用效益，特制定以下管理制度：</w:t>
      </w:r>
    </w:p>
    <w:p w14:paraId="05BF09B9">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第一、专项资金实行“专人管理、专户储存、专账核算、专项使用”。</w:t>
      </w:r>
    </w:p>
    <w:p w14:paraId="71085D3E">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二、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651FF94C">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第三、严格专项资金初审、审核、审核制度，不准缺项和越程序办理手续，各类专项资金审批程序，以该专项资金审批表所列内容和文件要求为准。</w:t>
      </w:r>
    </w:p>
    <w:p w14:paraId="1CAB8360">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第四、专项资金报账拨付要附真实、有效、合法的凭证。</w:t>
      </w:r>
    </w:p>
    <w:p w14:paraId="7B93DC74">
      <w:pPr>
        <w:spacing w:line="560" w:lineRule="exact"/>
        <w:ind w:firstLine="640" w:firstLineChars="200"/>
        <w:rPr>
          <w:rFonts w:ascii="仿宋" w:hAnsi="仿宋" w:eastAsia="仿宋"/>
          <w:sz w:val="32"/>
          <w:szCs w:val="32"/>
        </w:rPr>
      </w:pPr>
      <w:r>
        <w:rPr>
          <w:rFonts w:hint="eastAsia" w:ascii="仿宋" w:hAnsi="仿宋" w:eastAsia="仿宋"/>
          <w:sz w:val="32"/>
          <w:szCs w:val="32"/>
        </w:rPr>
        <w:t>（五）资产管理情况</w:t>
      </w:r>
    </w:p>
    <w:p w14:paraId="1DFEC2B6">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为规范固定资产管理，实现固定资产的优化配置，我镇制定了固定资产管理制度，固定资产指定专人管理，及时登记，科学使用，每年年末对固定资产进行清查盘点，国定资产的调出、处置、报废、报损严格执行国家有关规定的审批程序办理。</w:t>
      </w:r>
    </w:p>
    <w:p w14:paraId="14F77D8B">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七甲坪镇人民政府固定资合计1573.42万元。1其中房屋类资产，总面积账面数3360平方米，价值1137.37万元。2、交通运输工具9俩，分别是公车、垃圾车、消防车、洒水车等，价值207.54万元，无盘盈盈亏。3、其他价值，价值228.51万元，无盘盈盈亏。</w:t>
      </w:r>
    </w:p>
    <w:p w14:paraId="5C155173">
      <w:pPr>
        <w:spacing w:line="560" w:lineRule="exact"/>
        <w:ind w:firstLine="640" w:firstLineChars="200"/>
        <w:rPr>
          <w:rFonts w:ascii="仿宋" w:hAnsi="仿宋" w:eastAsia="仿宋"/>
          <w:sz w:val="32"/>
          <w:szCs w:val="32"/>
        </w:rPr>
      </w:pPr>
      <w:r>
        <w:rPr>
          <w:rFonts w:hint="eastAsia" w:ascii="仿宋" w:hAnsi="仿宋" w:eastAsia="仿宋"/>
          <w:sz w:val="32"/>
          <w:szCs w:val="32"/>
        </w:rPr>
        <w:t>（六）职责履行及履职效益</w:t>
      </w:r>
    </w:p>
    <w:p w14:paraId="3F5A778C">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七甲坪镇人民政府能够及时完成上级交办的任务，重点工作实际完成率达到100%，。在2021年度七甲坪镇人民政府以执行党中央决策为综资，以便民，利民为目的，把握良性的城镇社会发展趋势，保障城镇社会居民的公平竞争和文化教育的改善，促进经济建设，为民办实事，老百姓满意度达到100%。</w:t>
      </w:r>
    </w:p>
    <w:p w14:paraId="31575E54">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三、部门整体支出绩效情况</w:t>
      </w:r>
    </w:p>
    <w:p w14:paraId="6FB74415">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（一）抓好全镇产业结构调整：重视并继续加强对生猪养殖、龙虾养殖、辣椒种植、油茶等新兴产业的扶持力度，鼓励各村结合实际发展本村特色农业、优势农业。</w:t>
      </w:r>
    </w:p>
    <w:p w14:paraId="6B4D228C">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二）粮食生产方面：农业是生命线,抓好粮食生产工作，对维护社会稳定起着重要作用。镇政府高度重视，认真贯彻落实国家的支农惠农政策。一方面组织抓好良种补贴发放工作,另一方面为确保粮食增产增收，镇农技站大力推广良种种植，开展科技种植示范样板建设，注重农作物病虫害防治，抓好农作物中耕管理，确保粮食安全稳定。</w:t>
      </w:r>
    </w:p>
    <w:p w14:paraId="0C783653">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三）从实际着眼，因地制宜壮产业：畜牧业是带动群众增收的一项支柱产业，在群众增收的产业中有不可替代的作用。我镇坚持走“科技养殖”之路，增强养殖业发展动力。因地制宜谋发展，引进梨树村生猪养殖厂项目，湖南生泰茶油公司在七甲坪楠木片区建成高标准油茶基地4700亩。认真贯彻落实中央一号文件精神，积极引导压单扩双，推广中稻加再生稻栽培模式，大力发展优质稻种植。着力以发展产业为重点，积极推进“一村一品”建设，引导农户走“公司+基地+农户+市场”的现代农业发展模式。全镇已发展2</w:t>
      </w:r>
      <w:r>
        <w:rPr>
          <w:rFonts w:hint="eastAsia" w:ascii="仿宋" w:hAnsi="仿宋" w:eastAsia="仿宋"/>
          <w:sz w:val="32"/>
          <w:szCs w:val="32"/>
          <w:lang w:val="en-US" w:eastAsia="zh-CN"/>
        </w:rPr>
        <w:t>9</w:t>
      </w:r>
      <w:r>
        <w:rPr>
          <w:rFonts w:hint="eastAsia" w:ascii="仿宋" w:hAnsi="仿宋" w:eastAsia="仿宋"/>
          <w:sz w:val="32"/>
          <w:szCs w:val="32"/>
        </w:rPr>
        <w:t>个合作社，推进多个特色产业园建设，如梨树生猪养殖场，伍家百亩小龙虾养殖基地、万羊山的生态悠闲旅游产业园等特色产业园。为我镇乡村振兴创造了有利条件，有效带动了当地经济发展和农民就业增收。</w:t>
      </w:r>
    </w:p>
    <w:p w14:paraId="70C68808">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四）加快基础建设：一是历年来借冬春水利建设之机，多渠道争取资金，发动群众掀起农田水利建设热潮，对全镇水利工程进行整复修，及时对受临路建设影响无法耕种的土地、需要修复的沟渠、复垦田地等问题进行协调，妥善的解决；二是积极做好防汛工作，对辖区的骨干山塘进行了全面清障。三是道路交通建设。</w:t>
      </w:r>
    </w:p>
    <w:p w14:paraId="2EB0642F">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五）从政策着手，践行宗旨保民生：全镇实现了村级公共服务从无到有、从有到优的转变，各村（居）建立了便民服务窗口、配齐了文体活动器材、完成了扶贫项目建设、增加了就业工作岗位、明确了产业指导员、完善了村医服务体系、实现了“五化”创建、保障了村级运转经费，初步实现了便民服务有窗口、文体活动有场所、产业服务有平台、医疗服务有诊室、党建服务有阵地、村（居）运转有保障的“六有”新局。</w:t>
      </w:r>
    </w:p>
    <w:p w14:paraId="35583AE6">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六）从重点聚焦，勠力同心战疫情：建立疫情防控常态化机制，全面开展人员排查，严格实施分类管控，取消各类赈酒，从简治丧，对聚集打牌等行为开展专项巡查。组织爱国卫生运动，防止垃圾长时间堆积滋生病菌。加强饮用水源治理，做好水厂消毒灭菌，疫情防控取得阶段性胜利。</w:t>
      </w:r>
    </w:p>
    <w:p w14:paraId="1A98E9C6">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七）从责任着力，维护稳定促和谐：持之以恒抓好五大安全工作，以习总书记五大安全理念为指引，抓紧抓实安全生产责任体系，重部署，常检查，强执法，真整改，五年来无一例重大安全责任事故发生。扎实推进“信访清零”活动，每户张贴便民服务卡，使群众办事有对象、诉求有窗口，压实网格员作用，经过长期接续奋斗，到市县两级的信访量明显减少，群众满意度达到100%。</w:t>
      </w:r>
    </w:p>
    <w:p w14:paraId="46489D58">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四、部门整体支出绩效评价结果</w:t>
      </w:r>
    </w:p>
    <w:p w14:paraId="0C095BC0">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我镇部门整体支出绩效评价指标得分96分，评价为优秀。</w:t>
      </w:r>
    </w:p>
    <w:p w14:paraId="7F525AF8">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扣分方面：</w:t>
      </w:r>
    </w:p>
    <w:p w14:paraId="5E72E965">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经济效益，故该项扣4分。</w:t>
      </w:r>
    </w:p>
    <w:p w14:paraId="17E3BBBE">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五、存在的主要问题</w:t>
      </w:r>
    </w:p>
    <w:p w14:paraId="74712627">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财政收入有限，经济发展力度不够。镇一级的财政时常陷入困境、入不敷出。然而经济社会的发展却一刻也离不开资金支持，无论是迁村并点还是建厂办园，无论是筑桥铺路还是盖楼建校，无论是公共服务还是公益事业，离开了资金都将是空谈。单纯依靠上级财政拨付，维持机关运转尚且困难，更别谈产业机构调整。由此也导致了镇镇政府资金紧张问题。</w:t>
      </w:r>
    </w:p>
    <w:p w14:paraId="39BF359F">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二）财务预算管理制度不健全。镇财政工作的对象十分复杂，而没有准确、科学的财务预算管理作为保障就极易造成资金、物资等资源的浪费，而目前在财务预算的编制上，往往是为了预算而预算，忽视预算与实际工作需要的一致性，致使多次追加预算，预算完成率却不高。</w:t>
      </w:r>
    </w:p>
    <w:p w14:paraId="32887C27">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六、改进措施和有关建议</w:t>
      </w:r>
    </w:p>
    <w:p w14:paraId="054FD04E">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大力发展镇经济，拓宽镇镇财源。大力调整农业生产结构，引导农民根据市场组织生产，发展自己的优势农业；大力发展镇镇企业，引导部分镇镇企业围绕调整和优化农业产业结构，开过农产品深加工和销售市场；大力发展个体私营经济，为农村个体私营经济的发展创造宽松的外部环境，使个体私营经济成为镇镇经济发展的新力量。</w:t>
      </w:r>
    </w:p>
    <w:p w14:paraId="313D7F74">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二）加大制度建设，夯实工作基础。完善内部管理制度，建立岗位责任制，进一步明确相关人员的职责分工，各司其职，便于发挥财政管理工作的监督职能，对镇资金加强管理，特别是对专项资金的使用要及时跟踪、检查，确保专款专用；梳理、细化以往账目，为镇制度切实可行的财务预算计划，确保资金使用的能效。</w:t>
      </w:r>
    </w:p>
    <w:p w14:paraId="1E353045">
      <w:pPr>
        <w:spacing w:line="560" w:lineRule="exact"/>
        <w:ind w:firstLine="643" w:firstLineChars="200"/>
        <w:jc w:val="left"/>
        <w:rPr>
          <w:rFonts w:ascii="仿宋" w:hAnsi="仿宋" w:eastAsia="仿宋"/>
          <w:sz w:val="32"/>
          <w:szCs w:val="32"/>
        </w:rPr>
      </w:pPr>
      <w:r>
        <w:rPr>
          <w:rFonts w:hint="eastAsia" w:ascii="楷体" w:hAnsi="楷体" w:eastAsia="楷体" w:cs="楷体"/>
          <w:b/>
          <w:bCs/>
          <w:sz w:val="32"/>
          <w:szCs w:val="32"/>
        </w:rPr>
        <w:t>（三）增强人员素质，规范管理体系。</w:t>
      </w:r>
      <w:r>
        <w:rPr>
          <w:rFonts w:hint="eastAsia" w:ascii="仿宋" w:hAnsi="仿宋" w:eastAsia="仿宋"/>
          <w:sz w:val="32"/>
          <w:szCs w:val="32"/>
        </w:rPr>
        <w:t>在人员培养上，积极参加上级组织的业务员培训，提高工作的针对性和有效性；加强财务管理信息化建设，完善镇的财务数据库和管理系统，用制度规范言行；在人员的考核上，严格考核标准，注重工作的实效，提高考核的准确性和公正性。</w:t>
      </w:r>
    </w:p>
    <w:p w14:paraId="0D5E3C0B">
      <w:pPr>
        <w:spacing w:line="560" w:lineRule="exact"/>
        <w:ind w:firstLine="643" w:firstLineChars="200"/>
        <w:jc w:val="left"/>
        <w:rPr>
          <w:rFonts w:ascii="仿宋" w:hAnsi="仿宋" w:eastAsia="仿宋"/>
          <w:sz w:val="32"/>
          <w:szCs w:val="32"/>
        </w:rPr>
      </w:pPr>
      <w:r>
        <w:rPr>
          <w:rFonts w:hint="eastAsia" w:ascii="楷体" w:hAnsi="楷体" w:eastAsia="楷体" w:cs="楷体"/>
          <w:b/>
          <w:bCs/>
          <w:sz w:val="32"/>
          <w:szCs w:val="32"/>
        </w:rPr>
        <w:t>（四）严格把控“三公经费”的使用。</w:t>
      </w:r>
      <w:r>
        <w:rPr>
          <w:rFonts w:hint="eastAsia" w:ascii="仿宋" w:hAnsi="仿宋" w:eastAsia="仿宋"/>
          <w:sz w:val="32"/>
          <w:szCs w:val="32"/>
        </w:rPr>
        <w:t>加强领导，建立专项检查长效机制；狠抓落实，严控各项预算外支出；完善监制，防控共建长效机制，做到提高工作效能，从严控制会议和招待费开支，强化会议年度计划和审批管理制度，严格会议费预算管理，严格会议费报销和支付管理，建立会议费公示制度和会议年度报告制度，及时汇总分析，加强管理规范财务管理等，从各方面对经费进行控制，形成完善有效的管理机制。</w:t>
      </w:r>
    </w:p>
    <w:p w14:paraId="5DB53AED">
      <w:pPr>
        <w:spacing w:line="640" w:lineRule="exact"/>
        <w:jc w:val="center"/>
        <w:rPr>
          <w:rFonts w:ascii="仿宋" w:hAnsi="仿宋" w:eastAsia="仿宋"/>
          <w:sz w:val="32"/>
          <w:szCs w:val="32"/>
        </w:rPr>
      </w:pPr>
      <w:r>
        <w:rPr>
          <w:rFonts w:hint="eastAsia" w:ascii="仿宋" w:hAnsi="仿宋" w:eastAsia="仿宋"/>
          <w:sz w:val="32"/>
          <w:szCs w:val="32"/>
        </w:rPr>
        <w:t xml:space="preserve">                        沅陵县七甲坪镇人民政府</w:t>
      </w:r>
    </w:p>
    <w:p w14:paraId="2C165978">
      <w:pPr>
        <w:spacing w:line="640" w:lineRule="exact"/>
        <w:jc w:val="center"/>
        <w:rPr>
          <w:rFonts w:ascii="仿宋" w:hAnsi="仿宋" w:eastAsia="仿宋"/>
          <w:sz w:val="32"/>
          <w:szCs w:val="32"/>
        </w:rPr>
      </w:pPr>
      <w:r>
        <w:rPr>
          <w:rFonts w:hint="eastAsia" w:ascii="仿宋" w:hAnsi="仿宋" w:eastAsia="仿宋"/>
          <w:sz w:val="32"/>
          <w:szCs w:val="32"/>
        </w:rPr>
        <w:t xml:space="preserve">                          2025年5月20日</w:t>
      </w:r>
    </w:p>
    <w:p w14:paraId="46D530BB">
      <w:pPr>
        <w:spacing w:line="640" w:lineRule="exact"/>
        <w:rPr>
          <w:rFonts w:ascii="仿宋" w:hAnsi="仿宋" w:eastAsia="仿宋"/>
          <w:sz w:val="32"/>
          <w:szCs w:val="32"/>
        </w:rPr>
      </w:pPr>
    </w:p>
    <w:sectPr>
      <w:footerReference r:id="rId3" w:type="default"/>
      <w:pgSz w:w="11906" w:h="16838"/>
      <w:pgMar w:top="1440" w:right="1814" w:bottom="1440"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autofit"/>
      <w:tblCellMar>
        <w:top w:w="58" w:type="dxa"/>
        <w:left w:w="115" w:type="dxa"/>
        <w:bottom w:w="58" w:type="dxa"/>
        <w:right w:w="115" w:type="dxa"/>
      </w:tblCellMar>
    </w:tblPr>
    <w:tblGrid>
      <w:gridCol w:w="1276"/>
      <w:gridCol w:w="7232"/>
    </w:tblGrid>
    <w:tr w14:paraId="75BCF2C6">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750" w:type="pct"/>
        </w:tcPr>
        <w:p w14:paraId="0D013801">
          <w:pPr>
            <w:pStyle w:val="3"/>
            <w:jc w:val="right"/>
            <w:rPr>
              <w:color w:val="4F81BD" w:themeColor="accent1"/>
            </w:rPr>
          </w:pPr>
          <w:r>
            <w:fldChar w:fldCharType="begin"/>
          </w:r>
          <w:r>
            <w:instrText xml:space="preserve"> PAGE   \* MERGEFORMAT </w:instrText>
          </w:r>
          <w:r>
            <w:fldChar w:fldCharType="separate"/>
          </w:r>
          <w:r>
            <w:rPr>
              <w:color w:val="4F81BD" w:themeColor="accent1"/>
              <w:lang w:val="zh-CN"/>
            </w:rPr>
            <w:t>2</w:t>
          </w:r>
          <w:r>
            <w:rPr>
              <w:color w:val="4F81BD" w:themeColor="accent1"/>
              <w:lang w:val="zh-CN"/>
            </w:rPr>
            <w:fldChar w:fldCharType="end"/>
          </w:r>
        </w:p>
      </w:tc>
      <w:tc>
        <w:tcPr>
          <w:tcW w:w="4250" w:type="pct"/>
        </w:tcPr>
        <w:p w14:paraId="0CE23A3C">
          <w:pPr>
            <w:pStyle w:val="3"/>
            <w:rPr>
              <w:color w:val="4F81BD" w:themeColor="accent1"/>
            </w:rPr>
          </w:pPr>
        </w:p>
      </w:tc>
    </w:tr>
  </w:tbl>
  <w:p w14:paraId="49CE3D6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OTMxN2UzYWYyYmFhZjk1MDdmMjRlM2EwOTQ0NzQifQ=="/>
  </w:docVars>
  <w:rsids>
    <w:rsidRoot w:val="000067C3"/>
    <w:rsid w:val="00003DDF"/>
    <w:rsid w:val="000067C3"/>
    <w:rsid w:val="00086817"/>
    <w:rsid w:val="000A7DB1"/>
    <w:rsid w:val="0012059E"/>
    <w:rsid w:val="00307677"/>
    <w:rsid w:val="00321BD2"/>
    <w:rsid w:val="003B6DC1"/>
    <w:rsid w:val="00413507"/>
    <w:rsid w:val="00464BD7"/>
    <w:rsid w:val="004905AD"/>
    <w:rsid w:val="004B75D0"/>
    <w:rsid w:val="005B18C2"/>
    <w:rsid w:val="0062589E"/>
    <w:rsid w:val="00641DC1"/>
    <w:rsid w:val="00651925"/>
    <w:rsid w:val="006C49C5"/>
    <w:rsid w:val="008C011C"/>
    <w:rsid w:val="008C53CA"/>
    <w:rsid w:val="009548D9"/>
    <w:rsid w:val="00962270"/>
    <w:rsid w:val="009F2411"/>
    <w:rsid w:val="00A6271F"/>
    <w:rsid w:val="00AD2C22"/>
    <w:rsid w:val="00AF74BD"/>
    <w:rsid w:val="00B038A3"/>
    <w:rsid w:val="00B47138"/>
    <w:rsid w:val="00C04EC9"/>
    <w:rsid w:val="00C6445A"/>
    <w:rsid w:val="00C64698"/>
    <w:rsid w:val="00C94E02"/>
    <w:rsid w:val="00CD6C4B"/>
    <w:rsid w:val="00D815B9"/>
    <w:rsid w:val="00DE4150"/>
    <w:rsid w:val="00E178C3"/>
    <w:rsid w:val="00EB4975"/>
    <w:rsid w:val="05061BA6"/>
    <w:rsid w:val="16682B1A"/>
    <w:rsid w:val="1D90123E"/>
    <w:rsid w:val="259435D8"/>
    <w:rsid w:val="60B956E8"/>
    <w:rsid w:val="656C67F2"/>
    <w:rsid w:val="70500671"/>
    <w:rsid w:val="75942A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kern w:val="2"/>
      <w:sz w:val="18"/>
      <w:szCs w:val="18"/>
    </w:rPr>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8</Pages>
  <Words>3639</Words>
  <Characters>3792</Characters>
  <Lines>27</Lines>
  <Paragraphs>7</Paragraphs>
  <TotalTime>2</TotalTime>
  <ScaleCrop>false</ScaleCrop>
  <LinksUpToDate>false</LinksUpToDate>
  <CharactersWithSpaces>3842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2025-07-25T01:45:00Z</dcterms:created>
  <dc:creator>User</dc:creator>
  <cp:lastModifiedBy>Administrator</cp:lastModifiedBy>
  <cp:lastPrinted>2025-07-25T02:04:00Z</cp:lastPrinted>
  <dcterms:modified xsi:type="dcterms:W3CDTF">2025-10-28T02:54:10Z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8417F406CE9144268CBEAE6A93363FA2_13</vt:lpwstr>
  </property>
  <property fmtid="{D5CDD505-2E9C-101B-9397-08002B2CF9AE}" pid="4" name="KSOTemplateDocerSaveRecord">
    <vt:lpwstr>eyJoZGlkIjoiNmYwM2VlZDg4YjcwMzdmODVkOTc5ZWQ1MzljOGQ3OTUiLCJ1c2VySWQiOiIyMzU2MzQ3MiJ9</vt:lpwstr>
  </property>
</Properties>
</file>