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6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宋体" w:hAnsi="宋体" w:eastAsia="宋体" w:cs="宋体"/>
          <w:i w:val="0"/>
          <w:iCs w:val="0"/>
          <w:caps w:val="0"/>
          <w:color w:val="000000"/>
          <w:spacing w:val="0"/>
          <w:sz w:val="44"/>
          <w:szCs w:val="44"/>
        </w:rPr>
      </w:pPr>
      <w:bookmarkStart w:id="0" w:name="_GoBack"/>
      <w:bookmarkEnd w:id="0"/>
      <w:r>
        <w:rPr>
          <w:rFonts w:hint="eastAsia" w:ascii="宋体" w:hAnsi="宋体" w:eastAsia="宋体" w:cs="宋体"/>
          <w:i w:val="0"/>
          <w:iCs w:val="0"/>
          <w:caps w:val="0"/>
          <w:color w:val="000000"/>
          <w:spacing w:val="0"/>
          <w:sz w:val="44"/>
          <w:szCs w:val="44"/>
          <w:shd w:val="clear" w:fill="FFFFFF"/>
          <w:lang w:eastAsia="zh-CN"/>
        </w:rPr>
        <w:t>沅陵县司法局</w:t>
      </w:r>
      <w:r>
        <w:rPr>
          <w:rFonts w:hint="eastAsia" w:ascii="宋体" w:hAnsi="宋体" w:eastAsia="宋体" w:cs="宋体"/>
          <w:i w:val="0"/>
          <w:iCs w:val="0"/>
          <w:caps w:val="0"/>
          <w:color w:val="000000"/>
          <w:spacing w:val="0"/>
          <w:sz w:val="44"/>
          <w:szCs w:val="44"/>
          <w:shd w:val="clear" w:fill="FFFFFF"/>
        </w:rPr>
        <w:t>部门整体支出绩效自评报告</w:t>
      </w:r>
    </w:p>
    <w:p w14:paraId="573B8C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标准粗黑" w:hAnsi="标准粗黑" w:eastAsia="标准粗黑" w:cs="标准粗黑"/>
          <w:i w:val="0"/>
          <w:iCs w:val="0"/>
          <w:caps w:val="0"/>
          <w:color w:val="000000"/>
          <w:spacing w:val="0"/>
          <w:sz w:val="32"/>
          <w:szCs w:val="32"/>
        </w:rPr>
      </w:pPr>
      <w:r>
        <w:rPr>
          <w:rFonts w:hint="eastAsia" w:ascii="标准粗黑" w:hAnsi="标准粗黑" w:eastAsia="标准粗黑" w:cs="标准粗黑"/>
          <w:i w:val="0"/>
          <w:iCs w:val="0"/>
          <w:caps w:val="0"/>
          <w:color w:val="000000"/>
          <w:spacing w:val="0"/>
          <w:sz w:val="32"/>
          <w:szCs w:val="32"/>
          <w:shd w:val="clear" w:fill="FFFFFF"/>
        </w:rPr>
        <w:t>一、部门、单位基本情况</w:t>
      </w:r>
    </w:p>
    <w:p w14:paraId="05FC5A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7FCFF12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根据编委核定，我局内设股室11个，所属财务不独立核算二级机构1个。内设股室分别是办公室、法治调研督察与普法依法治理股、社区矫正管理股、行政复议与应诉股、行政执法协调监督股、规范性文件管理与法律事务服务股、人民参与和促进法洽股(县人民陪审员和监督员选任管理办）、公共法律服务管理股（县法律援助中心)、律师工作股、政工室、装备财务保障股、</w:t>
      </w:r>
      <w:r>
        <w:rPr>
          <w:rFonts w:hint="eastAsia" w:ascii="仿宋" w:hAnsi="仿宋" w:eastAsia="仿宋"/>
          <w:sz w:val="32"/>
          <w:szCs w:val="32"/>
          <w:lang w:val="en-US" w:eastAsia="zh-CN"/>
        </w:rPr>
        <w:t>23</w:t>
      </w:r>
      <w:r>
        <w:rPr>
          <w:rFonts w:hint="eastAsia" w:ascii="仿宋" w:hAnsi="仿宋" w:eastAsia="仿宋"/>
          <w:sz w:val="32"/>
          <w:szCs w:val="32"/>
        </w:rPr>
        <w:t>个司法所。所属财务不独立核算二级机构是：沅陵县法制研究中心。</w:t>
      </w:r>
    </w:p>
    <w:p w14:paraId="2ADF276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eastAsia="zh-CN"/>
        </w:rPr>
        <w:t>（二）</w:t>
      </w:r>
      <w:r>
        <w:rPr>
          <w:rFonts w:hint="default" w:ascii="楷体_GB2312" w:eastAsia="楷体_GB2312" w:cs="楷体_GB2312"/>
          <w:i w:val="0"/>
          <w:iCs w:val="0"/>
          <w:caps w:val="0"/>
          <w:color w:val="000000"/>
          <w:spacing w:val="0"/>
          <w:sz w:val="32"/>
          <w:szCs w:val="32"/>
          <w:shd w:val="clear" w:fill="FFFFFF"/>
        </w:rPr>
        <w:t>人员编制情况</w:t>
      </w:r>
    </w:p>
    <w:p w14:paraId="18F26BA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sz w:val="32"/>
          <w:szCs w:val="32"/>
          <w:lang w:eastAsia="zh-CN"/>
        </w:rPr>
        <w:t>沅陵县司法局</w:t>
      </w:r>
      <w:r>
        <w:rPr>
          <w:rFonts w:hint="eastAsia" w:ascii="仿宋" w:hAnsi="仿宋" w:eastAsia="仿宋"/>
          <w:sz w:val="32"/>
          <w:szCs w:val="32"/>
        </w:rPr>
        <w:t>共核定行政专项编制8</w:t>
      </w:r>
      <w:r>
        <w:rPr>
          <w:rFonts w:hint="eastAsia" w:ascii="仿宋" w:hAnsi="仿宋" w:eastAsia="仿宋"/>
          <w:sz w:val="32"/>
          <w:szCs w:val="32"/>
          <w:lang w:val="en-US" w:eastAsia="zh-CN"/>
        </w:rPr>
        <w:t>7</w:t>
      </w:r>
      <w:r>
        <w:rPr>
          <w:rFonts w:hint="eastAsia" w:ascii="仿宋" w:hAnsi="仿宋" w:eastAsia="仿宋"/>
          <w:sz w:val="32"/>
          <w:szCs w:val="32"/>
        </w:rPr>
        <w:t>名</w:t>
      </w:r>
      <w:r>
        <w:rPr>
          <w:rFonts w:hint="eastAsia" w:ascii="仿宋" w:hAnsi="仿宋" w:eastAsia="仿宋"/>
          <w:sz w:val="32"/>
          <w:szCs w:val="32"/>
          <w:lang w:eastAsia="zh-CN"/>
        </w:rPr>
        <w:t>，</w:t>
      </w:r>
      <w:r>
        <w:rPr>
          <w:rFonts w:hint="eastAsia" w:ascii="仿宋" w:hAnsi="仿宋" w:eastAsia="仿宋"/>
          <w:sz w:val="32"/>
          <w:szCs w:val="32"/>
          <w:lang w:val="en-US" w:eastAsia="zh-CN"/>
        </w:rPr>
        <w:t>实有在职人员79名，</w:t>
      </w:r>
      <w:r>
        <w:rPr>
          <w:rFonts w:hint="eastAsia" w:ascii="仿宋" w:hAnsi="仿宋" w:eastAsia="仿宋"/>
          <w:sz w:val="32"/>
          <w:szCs w:val="32"/>
        </w:rPr>
        <w:t>全额拨款事业编制</w:t>
      </w:r>
      <w:r>
        <w:rPr>
          <w:rFonts w:hint="eastAsia" w:ascii="仿宋" w:hAnsi="仿宋" w:eastAsia="仿宋"/>
          <w:sz w:val="32"/>
          <w:szCs w:val="32"/>
          <w:lang w:val="en-US" w:eastAsia="zh-CN"/>
        </w:rPr>
        <w:t>6</w:t>
      </w:r>
      <w:r>
        <w:rPr>
          <w:rFonts w:hint="eastAsia" w:ascii="仿宋" w:hAnsi="仿宋" w:eastAsia="仿宋"/>
          <w:sz w:val="32"/>
          <w:szCs w:val="32"/>
        </w:rPr>
        <w:t>名，</w:t>
      </w:r>
      <w:r>
        <w:rPr>
          <w:rFonts w:hint="eastAsia" w:ascii="仿宋" w:hAnsi="仿宋" w:eastAsia="仿宋"/>
          <w:sz w:val="32"/>
          <w:szCs w:val="32"/>
          <w:lang w:eastAsia="zh-CN"/>
        </w:rPr>
        <w:t>实有在职人员</w:t>
      </w:r>
      <w:r>
        <w:rPr>
          <w:rFonts w:hint="eastAsia" w:ascii="仿宋" w:hAnsi="仿宋" w:eastAsia="仿宋"/>
          <w:sz w:val="32"/>
          <w:szCs w:val="32"/>
          <w:lang w:val="en-US" w:eastAsia="zh-CN"/>
        </w:rPr>
        <w:t>6名</w:t>
      </w:r>
      <w:r>
        <w:rPr>
          <w:rFonts w:hint="eastAsia" w:ascii="仿宋" w:hAnsi="仿宋" w:eastAsia="仿宋"/>
          <w:sz w:val="32"/>
          <w:szCs w:val="32"/>
        </w:rPr>
        <w:t>。现有干部职工</w:t>
      </w:r>
      <w:r>
        <w:rPr>
          <w:rFonts w:hint="eastAsia" w:ascii="仿宋" w:hAnsi="仿宋" w:eastAsia="仿宋"/>
          <w:sz w:val="32"/>
          <w:szCs w:val="32"/>
          <w:lang w:val="en-US" w:eastAsia="zh-CN"/>
        </w:rPr>
        <w:t>85</w:t>
      </w:r>
      <w:r>
        <w:rPr>
          <w:rFonts w:hint="eastAsia" w:ascii="仿宋" w:hAnsi="仿宋" w:eastAsia="仿宋"/>
          <w:sz w:val="32"/>
          <w:szCs w:val="32"/>
        </w:rPr>
        <w:t>名。</w:t>
      </w:r>
    </w:p>
    <w:p w14:paraId="063BBE7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hAnsiTheme="minorHAnsi"/>
          <w:i w:val="0"/>
          <w:iCs w:val="0"/>
          <w:caps w:val="0"/>
          <w:color w:val="000000"/>
          <w:spacing w:val="0"/>
          <w:kern w:val="0"/>
          <w:sz w:val="32"/>
          <w:szCs w:val="32"/>
          <w:shd w:val="clear" w:fill="FFFFFF"/>
          <w:lang w:val="en-US" w:eastAsia="zh-CN" w:bidi="ar"/>
        </w:rPr>
        <w:t>（</w:t>
      </w:r>
      <w:r>
        <w:rPr>
          <w:rFonts w:hint="eastAsia" w:ascii="楷体_GB2312" w:eastAsia="楷体_GB2312" w:cs="楷体_GB2312"/>
          <w:i w:val="0"/>
          <w:iCs w:val="0"/>
          <w:caps w:val="0"/>
          <w:color w:val="000000"/>
          <w:spacing w:val="0"/>
          <w:kern w:val="0"/>
          <w:sz w:val="32"/>
          <w:szCs w:val="32"/>
          <w:shd w:val="clear" w:fill="FFFFFF"/>
          <w:lang w:val="en-US" w:eastAsia="zh-CN" w:bidi="ar"/>
        </w:rPr>
        <w:t>三</w:t>
      </w:r>
      <w:r>
        <w:rPr>
          <w:rFonts w:hint="eastAsia" w:ascii="楷体_GB2312" w:eastAsia="楷体_GB2312" w:cs="楷体_GB2312" w:hAnsiTheme="minorHAnsi"/>
          <w:i w:val="0"/>
          <w:iCs w:val="0"/>
          <w:caps w:val="0"/>
          <w:color w:val="000000"/>
          <w:spacing w:val="0"/>
          <w:kern w:val="0"/>
          <w:sz w:val="32"/>
          <w:szCs w:val="32"/>
          <w:shd w:val="clear" w:fill="FFFFFF"/>
          <w:lang w:val="en-US" w:eastAsia="zh-CN" w:bidi="ar"/>
        </w:rPr>
        <w:t>）</w:t>
      </w:r>
      <w:r>
        <w:rPr>
          <w:rFonts w:hint="default" w:ascii="楷体_GB2312" w:eastAsia="楷体_GB2312" w:cs="楷体_GB2312"/>
          <w:i w:val="0"/>
          <w:iCs w:val="0"/>
          <w:caps w:val="0"/>
          <w:color w:val="000000"/>
          <w:spacing w:val="0"/>
          <w:sz w:val="32"/>
          <w:szCs w:val="32"/>
          <w:shd w:val="clear" w:fill="FFFFFF"/>
        </w:rPr>
        <w:t>主要职能职责</w:t>
      </w:r>
    </w:p>
    <w:p w14:paraId="7F04550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沅陵县司法局的主要职责是：</w:t>
      </w:r>
    </w:p>
    <w:p w14:paraId="2DD5DD7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1、承担全面依法治县重大问题的调查研究，协调有关部门提出全面依法治县中长期规划建议，负责有关重大决策部署督察工作，负责组织开展依法治县和法治政府建设考核工作。</w:t>
      </w:r>
    </w:p>
    <w:p w14:paraId="689F1A1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2、贯彻执行国家、省、市关于司法行政工作的方针政策和法律法规，编制全县司法行政工作发展规划和年度计划并监督实施。配合上级机关面向社会征集法规规章制定项目建议等。</w:t>
      </w:r>
    </w:p>
    <w:p w14:paraId="2878FA2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负责全县规范性文件管理有关工作；承担县人民政府规范性文件送审稿的合法性审查和公平竞争审查工作，承办县人民政府及各部门规范性文件的登记工作。受理有关规范性文件审查申请。负责乡镇人民政府规范性文件备案审查工作。负责县人民政府规范性文件向市人民政府和县人大常委会报送备案工作。组织开展政府规范性文件清理工作。负责对县政府重大决策进行合法性审查。</w:t>
      </w:r>
    </w:p>
    <w:p w14:paraId="50BEFE8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4、承担统筹推进法治政府建设的责任。指导、监督县人民政府各部门、乡镇人民政府依法行政工作。负责综合协调行政执法，承担推进行政执法体制改革有关工作，推进严格规范公正文明执法。</w:t>
      </w:r>
    </w:p>
    <w:p w14:paraId="69EABFD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5、承办向县人民政府申请的行政复议案件，办理县人民政府受理的行政赔偿案件，承办或指导有关单位办理县人民政府行政应诉事项。指导、监督全县行政复议、行政赔偿和行政应诉工作。</w:t>
      </w:r>
    </w:p>
    <w:p w14:paraId="729595F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6、承担统筹规划全县法治社会建设责任。负责拟订法治宣传教育规划，组织实施普法宣传工作，组织对外法治宣传。推动人民参与和促进法治建设。指导依法治理和法治创建工作</w:t>
      </w:r>
      <w:r>
        <w:rPr>
          <w:rFonts w:hint="eastAsia" w:ascii="仿宋" w:hAnsi="仿宋" w:eastAsia="仿宋"/>
          <w:sz w:val="32"/>
          <w:szCs w:val="32"/>
          <w:lang w:eastAsia="zh-CN"/>
        </w:rPr>
        <w:t>，</w:t>
      </w:r>
      <w:r>
        <w:rPr>
          <w:rFonts w:hint="eastAsia" w:ascii="仿宋" w:hAnsi="仿宋" w:eastAsia="仿宋"/>
          <w:sz w:val="32"/>
          <w:szCs w:val="32"/>
        </w:rPr>
        <w:t>参与社会治安综合治理工作。指导调解工作和人民陪审员、人民监督员选任管理工作，指导管理司法所建设。</w:t>
      </w:r>
    </w:p>
    <w:p w14:paraId="5F4FCDB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7、指导、管理社区矫正工作。指导、管理刑满释放人员帮教安置工作。</w:t>
      </w:r>
    </w:p>
    <w:p w14:paraId="313A48E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8、指导、支持和协助社区戒毒和社区康复工作。</w:t>
      </w:r>
    </w:p>
    <w:p w14:paraId="5D53DE8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9、负责县人民政府法律顾问工作。负责拟定公共法律服务体系建设规划并指导实施，统筹和布局城乡、区域法律服务资源。监督管理律师、法律援助、司法鉴定、公证、仲裁和基层法律服务工作。</w:t>
      </w:r>
    </w:p>
    <w:p w14:paraId="7843D09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10、参与、指导面向社会的法学教育。负责国家统一法律职业资格考试的相关工作。</w:t>
      </w:r>
    </w:p>
    <w:p w14:paraId="3BA73CD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11、负责本系统服装和车辆管理工作，负责管理本系统财务、装备、设施、场所等保障工作。</w:t>
      </w:r>
    </w:p>
    <w:p w14:paraId="003CB6D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12、规划、协调、指导法治人才队伍建设相关工作。负责本系统队伍建设。</w:t>
      </w:r>
    </w:p>
    <w:p w14:paraId="3E3A7D2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13、完成县委、县政府交办的其他任务。</w:t>
      </w:r>
    </w:p>
    <w:p w14:paraId="479EA7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14:paraId="7D0124D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2024年，本单位设立了以下绩效目标：1、预算配置科学合理，确保基本支出足额保障，重点支出安排得当；2、预算执行有效，严控结转结余，提升项目组织与管理水平；3、预算管理规范，建立健全财务管理制度，及时公开信息；4、强化资产管理，确保国有资产有效使用。</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二、部门整体支出管理及使用情况</w:t>
      </w:r>
    </w:p>
    <w:p w14:paraId="1BF148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2DF1AA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2024年，沅陵县司法局一般公共预算1848.43万元，</w:t>
      </w:r>
      <w:r>
        <w:rPr>
          <w:rFonts w:hint="eastAsia" w:ascii="仿宋" w:hAnsi="仿宋" w:eastAsia="仿宋" w:cs="仿宋"/>
          <w:sz w:val="32"/>
          <w:szCs w:val="32"/>
          <w:lang w:eastAsia="zh-CN"/>
        </w:rPr>
        <w:t>各项资金专款专用，按照核定的金额和用途进行支付。</w:t>
      </w:r>
      <w:r>
        <w:rPr>
          <w:rFonts w:hint="eastAsia" w:ascii="仿宋" w:hAnsi="仿宋" w:eastAsia="仿宋" w:cs="仿宋"/>
          <w:sz w:val="32"/>
          <w:szCs w:val="32"/>
          <w:lang w:val="en-US" w:eastAsia="zh-CN"/>
        </w:rPr>
        <w:t>转移支付资金由中央拨付到省财政厅，再由省财政厅拨付到县财政，最后由县财政拨付到本单位账户；本级</w:t>
      </w:r>
      <w:r>
        <w:rPr>
          <w:rFonts w:hint="eastAsia" w:ascii="仿宋" w:hAnsi="仿宋" w:eastAsia="仿宋" w:cs="仿宋"/>
          <w:sz w:val="32"/>
          <w:szCs w:val="32"/>
          <w:lang w:eastAsia="zh-CN"/>
        </w:rPr>
        <w:t>项目资金由县财政拨付到本单位账户，本单位按程序将核定的支出资金拨付到各承办人账户。</w:t>
      </w:r>
    </w:p>
    <w:p w14:paraId="160BF7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5D99BD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3CDD59A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ascii="仿宋" w:hAnsi="仿宋" w:eastAsia="仿宋" w:cs="仿宋"/>
          <w:color w:val="000000"/>
          <w:kern w:val="0"/>
          <w:sz w:val="32"/>
          <w:szCs w:val="32"/>
          <w:lang w:val="en-US" w:eastAsia="zh-CN" w:bidi="ar"/>
        </w:rPr>
        <w:t>2024 年度财政拨款基本支出 1447.14 万元，其中：</w:t>
      </w:r>
      <w:r>
        <w:rPr>
          <w:rFonts w:hint="eastAsia" w:ascii="仿宋" w:hAnsi="仿宋" w:eastAsia="仿宋" w:cs="仿宋"/>
          <w:color w:val="000000"/>
          <w:kern w:val="0"/>
          <w:sz w:val="32"/>
          <w:szCs w:val="32"/>
          <w:lang w:val="en-US" w:eastAsia="zh-CN" w:bidi="ar"/>
        </w:rPr>
        <w:t>人员经费 1322.69 万元，占基本支出的 91.40%，主要包括：基本 工资、津贴补贴、奖金、伙食补助费、机关事业单位基本养老保险缴 费、职业年金缴费、职工基本医疗保险缴费、其他社会保障缴费、住 房公积金、退休费、抚恤金、生活补助、救济费、奖励金、其他对个 人和家庭的补助；</w:t>
      </w:r>
    </w:p>
    <w:p w14:paraId="7EF98BE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   公用经费 124.45 万元，占基本支出的 8.60%，主要包括：办公费、 印刷费、咨询费、水费、电费、邮电费、物业管理费、差旅费、维修（护） 费、会议费、培训费、公务接待费、劳务费、委托业务费、工会经费、 福利费、公务用车运行维护费、其他商品和服务支出。</w:t>
      </w:r>
    </w:p>
    <w:p w14:paraId="4709D24C">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14:paraId="2417E2B8">
      <w:pPr>
        <w:keepNext w:val="0"/>
        <w:keepLines w:val="0"/>
        <w:widowControl/>
        <w:suppressLineNumbers w:val="0"/>
        <w:ind w:firstLine="632" w:firstLineChars="200"/>
        <w:jc w:val="left"/>
      </w:pPr>
      <w:r>
        <w:rPr>
          <w:rFonts w:hint="eastAsia" w:ascii="仿宋" w:hAnsi="仿宋" w:eastAsia="仿宋" w:cs="Times New Roman"/>
          <w:spacing w:val="-2"/>
          <w:sz w:val="32"/>
          <w:szCs w:val="32"/>
        </w:rPr>
        <w:t>我局专项业务的资金使用，严格按照县财政局有关要求进行安排，</w:t>
      </w:r>
      <w:r>
        <w:rPr>
          <w:rFonts w:ascii="仿宋" w:hAnsi="仿宋" w:eastAsia="仿宋" w:cs="仿宋"/>
          <w:color w:val="000000"/>
          <w:kern w:val="0"/>
          <w:sz w:val="32"/>
          <w:szCs w:val="32"/>
          <w:lang w:val="en-US" w:eastAsia="zh-CN" w:bidi="ar"/>
        </w:rPr>
        <w:t xml:space="preserve">一是绩效自评开展情况。组织对 </w:t>
      </w:r>
      <w:r>
        <w:rPr>
          <w:rFonts w:hint="eastAsia" w:ascii="仿宋" w:hAnsi="仿宋" w:eastAsia="仿宋" w:cs="仿宋"/>
          <w:color w:val="000000"/>
          <w:kern w:val="0"/>
          <w:sz w:val="32"/>
          <w:szCs w:val="32"/>
          <w:lang w:val="en-US" w:eastAsia="zh-CN" w:bidi="ar"/>
        </w:rPr>
        <w:t>2024 年度本部门整体支出开展绩效自评，涉及项目 6 个，共涉及资金 401.29 万元。其中，一般公共预算项目 6 个 401.29 万元，占一般公共预算支出总额的 100%；二是部门评价开展情况。组织对所 属单位 2024 年度社区矫正、法律顾问、法律援助办案、人民调解等 6 个项目开展了部门评价，涉及一般公共预算支出 401.29 万元，</w:t>
      </w:r>
    </w:p>
    <w:p w14:paraId="6413ECB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val="en-US" w:eastAsia="zh-CN"/>
        </w:rPr>
        <w:t>3、</w:t>
      </w:r>
      <w:r>
        <w:rPr>
          <w:rFonts w:hint="default" w:ascii="楷体_GB2312" w:eastAsia="楷体_GB2312" w:cs="楷体_GB2312"/>
          <w:i w:val="0"/>
          <w:iCs w:val="0"/>
          <w:caps w:val="0"/>
          <w:color w:val="000000"/>
          <w:spacing w:val="0"/>
          <w:sz w:val="32"/>
          <w:szCs w:val="32"/>
          <w:shd w:val="clear" w:fill="FFFFFF"/>
        </w:rPr>
        <w:t>"三公"经费使用和管理情况</w:t>
      </w:r>
    </w:p>
    <w:p w14:paraId="1FDA0E5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Times New Roman"/>
          <w:sz w:val="32"/>
          <w:szCs w:val="32"/>
          <w:lang w:val="en-US" w:eastAsia="zh-CN"/>
        </w:rPr>
        <w:t>公车运行维护14.31万元、公务接待4.35万元。其中，“三公”经费的管理和使用严格规范，接待费支出严格按照省、市关于公务接待的有关文件执行，公车出行需有派车单，公务出国费用连续三年为0。</w:t>
      </w:r>
    </w:p>
    <w:p w14:paraId="0F0FDD5E">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政府性基金预算支出情况</w:t>
      </w:r>
    </w:p>
    <w:p w14:paraId="4BB8945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本单位无政府性基金。</w:t>
      </w:r>
    </w:p>
    <w:p w14:paraId="069C89A3">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国有资本经营预算支出情况</w:t>
      </w:r>
    </w:p>
    <w:p w14:paraId="321A80C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仿宋" w:hAnsi="仿宋" w:eastAsia="仿宋" w:cs="Times New Roman"/>
          <w:sz w:val="32"/>
          <w:szCs w:val="32"/>
          <w:lang w:val="en-US" w:eastAsia="zh-CN"/>
        </w:rPr>
        <w:t>本单位无国有资本经营。</w:t>
      </w:r>
    </w:p>
    <w:p w14:paraId="48ED9844">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社会保险基金预算支出情况</w:t>
      </w:r>
    </w:p>
    <w:p w14:paraId="05BD5F5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仿宋" w:hAnsi="仿宋" w:eastAsia="仿宋" w:cs="Times New Roman"/>
          <w:sz w:val="32"/>
          <w:szCs w:val="32"/>
          <w:lang w:val="en-US" w:eastAsia="zh-CN"/>
        </w:rPr>
        <w:t>本单位无社会保险基金。</w:t>
      </w:r>
    </w:p>
    <w:p w14:paraId="28A4E1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六、部门整体支出绩效情况</w:t>
      </w:r>
    </w:p>
    <w:p w14:paraId="14EFE7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14:paraId="1091AF8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2024年，我部门整体支出绩效自评综合得分为100分，评价等级为优秀。</w:t>
      </w:r>
    </w:p>
    <w:p w14:paraId="663E07AE">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14:paraId="69707CB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本单位设立了成本指标、产出指标、效益指标、满意度指标四个一级指标。成本指标包含经济成本指标、社会成本指标、生态环境成本指标；产出指标包含数量指标、质量指标、时效指标；效益指标包含经济效益指标、社会效益指标、生态环境效益指标；满意度指标包含服务对象满意度指标。部门整体支出绩效目标明确，资金使用规范有效，项目组织管理良好，社会效益显著，服务对象满意度达90%。</w:t>
      </w:r>
    </w:p>
    <w:p w14:paraId="2383F9C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七、存在的问题及原因分析</w:t>
      </w:r>
    </w:p>
    <w:p w14:paraId="1E4F56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无。</w:t>
      </w:r>
    </w:p>
    <w:p w14:paraId="36082582">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下一步改进措施</w:t>
      </w:r>
    </w:p>
    <w:p w14:paraId="23C9BB8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无。</w:t>
      </w:r>
    </w:p>
    <w:p w14:paraId="106A32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九、其他需要说明的情况</w:t>
      </w:r>
    </w:p>
    <w:p w14:paraId="758A7F0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无。</w:t>
      </w:r>
    </w:p>
    <w:p w14:paraId="037F5FD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120" w:firstLineChars="16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沅陵县司法局</w:t>
      </w:r>
    </w:p>
    <w:p w14:paraId="7A94AE3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4800" w:firstLineChars="1500"/>
        <w:textAlignment w:val="auto"/>
        <w:rPr>
          <w:rFonts w:hint="default"/>
          <w:lang w:val="en-US" w:eastAsia="zh-CN"/>
        </w:rPr>
      </w:pPr>
      <w:r>
        <w:rPr>
          <w:rFonts w:hint="eastAsia" w:ascii="仿宋" w:hAnsi="仿宋" w:eastAsia="仿宋" w:cs="仿宋"/>
          <w:i w:val="0"/>
          <w:iCs w:val="0"/>
          <w:caps w:val="0"/>
          <w:color w:val="000000"/>
          <w:spacing w:val="0"/>
          <w:kern w:val="0"/>
          <w:sz w:val="32"/>
          <w:szCs w:val="32"/>
          <w:shd w:val="clear" w:fill="FFFFFF"/>
          <w:lang w:val="en-US" w:eastAsia="zh-CN" w:bidi="ar"/>
        </w:rPr>
        <w:t>2025年9月24日</w:t>
      </w:r>
    </w:p>
    <w:sectPr>
      <w:footerReference r:id="rId3" w:type="default"/>
      <w:pgSz w:w="11906" w:h="16838"/>
      <w:pgMar w:top="1984"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922DD48-168E-474F-8617-A9F0E57BC08C}"/>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2" w:fontKey="{AF9E8D19-0387-483C-8ECD-47C93B7C41EA}"/>
  </w:font>
  <w:font w:name="仿宋_GB2312">
    <w:panose1 w:val="02010609030101010101"/>
    <w:charset w:val="86"/>
    <w:family w:val="auto"/>
    <w:pitch w:val="default"/>
    <w:sig w:usb0="00000001" w:usb1="080E0000" w:usb2="00000000" w:usb3="00000000" w:csb0="00040000" w:csb1="00000000"/>
    <w:embedRegular r:id="rId3" w:fontKey="{63FE97EC-5411-4DCB-858B-6F5CAFC5B777}"/>
  </w:font>
  <w:font w:name="标准粗黑">
    <w:panose1 w:val="02000503000000000000"/>
    <w:charset w:val="86"/>
    <w:family w:val="auto"/>
    <w:pitch w:val="default"/>
    <w:sig w:usb0="8000002F" w:usb1="084164FA" w:usb2="00000012" w:usb3="00000000" w:csb0="00040001" w:csb1="00000000"/>
    <w:embedRegular r:id="rId4" w:fontKey="{B8B10EA4-3FD8-45DF-BB6A-B4DF605EFCE7}"/>
  </w:font>
  <w:font w:name="仿宋">
    <w:panose1 w:val="02010609060101010101"/>
    <w:charset w:val="86"/>
    <w:family w:val="modern"/>
    <w:pitch w:val="default"/>
    <w:sig w:usb0="800002BF" w:usb1="38CF7CFA" w:usb2="00000016" w:usb3="00000000" w:csb0="00040001" w:csb1="00000000"/>
    <w:embedRegular r:id="rId5" w:fontKey="{5B684586-A441-4734-87AE-FEACE28050E4}"/>
  </w:font>
  <w:font w:name="方正仿宋_GB2312">
    <w:panose1 w:val="02000000000000000000"/>
    <w:charset w:val="86"/>
    <w:family w:val="auto"/>
    <w:pitch w:val="default"/>
    <w:sig w:usb0="A00002BF" w:usb1="184F6CFA" w:usb2="00000012" w:usb3="00000000" w:csb0="00040001" w:csb1="00000000"/>
    <w:embedRegular r:id="rId6" w:fontKey="{B205CD10-8DBA-4630-B2D7-8705183E93D8}"/>
  </w:font>
  <w:font w:name="WPSEMBED4">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2000503000000000000"/>
    <w:charset w:val="86"/>
    <w:family w:val="auto"/>
    <w:pitch w:val="default"/>
    <w:sig w:usb0="8000002F" w:usb1="084164FA" w:usb2="00000012"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2887C"/>
    <w:multiLevelType w:val="singleLevel"/>
    <w:tmpl w:val="8672887C"/>
    <w:lvl w:ilvl="0" w:tentative="0">
      <w:start w:val="2"/>
      <w:numFmt w:val="chineseCounting"/>
      <w:suff w:val="nothing"/>
      <w:lvlText w:val="（%1）"/>
      <w:lvlJc w:val="left"/>
      <w:rPr>
        <w:rFonts w:hint="eastAsia"/>
      </w:rPr>
    </w:lvl>
  </w:abstractNum>
  <w:abstractNum w:abstractNumId="1">
    <w:nsid w:val="B471BAFF"/>
    <w:multiLevelType w:val="singleLevel"/>
    <w:tmpl w:val="B471BAFF"/>
    <w:lvl w:ilvl="0" w:tentative="0">
      <w:start w:val="8"/>
      <w:numFmt w:val="chineseCounting"/>
      <w:suff w:val="nothing"/>
      <w:lvlText w:val="%1、"/>
      <w:lvlJc w:val="left"/>
      <w:rPr>
        <w:rFonts w:hint="eastAsia"/>
      </w:rPr>
    </w:lvl>
  </w:abstractNum>
  <w:abstractNum w:abstractNumId="2">
    <w:nsid w:val="EE01D8E4"/>
    <w:multiLevelType w:val="singleLevel"/>
    <w:tmpl w:val="EE01D8E4"/>
    <w:lvl w:ilvl="0" w:tentative="0">
      <w:start w:val="2"/>
      <w:numFmt w:val="decimal"/>
      <w:lvlText w:val="%1."/>
      <w:lvlJc w:val="left"/>
      <w:pPr>
        <w:tabs>
          <w:tab w:val="left" w:pos="312"/>
        </w:tabs>
      </w:pPr>
    </w:lvl>
  </w:abstractNum>
  <w:abstractNum w:abstractNumId="3">
    <w:nsid w:val="6CC646E9"/>
    <w:multiLevelType w:val="singleLevel"/>
    <w:tmpl w:val="6CC646E9"/>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AF6C97"/>
    <w:rsid w:val="05E95AA6"/>
    <w:rsid w:val="0AE3754E"/>
    <w:rsid w:val="0C180A78"/>
    <w:rsid w:val="0CAF7D6D"/>
    <w:rsid w:val="0D183BE6"/>
    <w:rsid w:val="0D276746"/>
    <w:rsid w:val="0D464D9C"/>
    <w:rsid w:val="0DD52794"/>
    <w:rsid w:val="0E956870"/>
    <w:rsid w:val="10C666A5"/>
    <w:rsid w:val="11C42733"/>
    <w:rsid w:val="1223366A"/>
    <w:rsid w:val="143877FD"/>
    <w:rsid w:val="17C820DA"/>
    <w:rsid w:val="18354119"/>
    <w:rsid w:val="19E805B2"/>
    <w:rsid w:val="1F563FA1"/>
    <w:rsid w:val="1FC24F0D"/>
    <w:rsid w:val="204129EB"/>
    <w:rsid w:val="22FE234B"/>
    <w:rsid w:val="277E6F02"/>
    <w:rsid w:val="29990575"/>
    <w:rsid w:val="2AF6742D"/>
    <w:rsid w:val="2E833798"/>
    <w:rsid w:val="312A2265"/>
    <w:rsid w:val="33AC3858"/>
    <w:rsid w:val="34A44525"/>
    <w:rsid w:val="36FC0F5D"/>
    <w:rsid w:val="375773F8"/>
    <w:rsid w:val="38CC5315"/>
    <w:rsid w:val="393E32BB"/>
    <w:rsid w:val="3DB903F3"/>
    <w:rsid w:val="3FA500AD"/>
    <w:rsid w:val="419B2857"/>
    <w:rsid w:val="41D71DA8"/>
    <w:rsid w:val="45D249F5"/>
    <w:rsid w:val="46C46A8D"/>
    <w:rsid w:val="4C6611ED"/>
    <w:rsid w:val="4D41465D"/>
    <w:rsid w:val="4DB65AEA"/>
    <w:rsid w:val="4DEF7A42"/>
    <w:rsid w:val="552A0475"/>
    <w:rsid w:val="578D10CB"/>
    <w:rsid w:val="58E660B8"/>
    <w:rsid w:val="5A5915AC"/>
    <w:rsid w:val="5D9660B3"/>
    <w:rsid w:val="62F621F7"/>
    <w:rsid w:val="6A12486A"/>
    <w:rsid w:val="6FAF27B6"/>
    <w:rsid w:val="753C4E9B"/>
    <w:rsid w:val="765E098E"/>
    <w:rsid w:val="77CA616D"/>
    <w:rsid w:val="781113A7"/>
    <w:rsid w:val="791E6510"/>
    <w:rsid w:val="79A63A67"/>
    <w:rsid w:val="7C8D4A41"/>
    <w:rsid w:val="7C8F4849"/>
    <w:rsid w:val="7C9048DB"/>
    <w:rsid w:val="7EDF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unhideWhenUsed/>
    <w:qFormat/>
    <w:uiPriority w:val="99"/>
    <w:pPr>
      <w:spacing w:beforeLines="0" w:afterLines="0"/>
      <w:ind w:firstLine="420"/>
    </w:pPr>
    <w:rPr>
      <w:rFonts w:hint="default"/>
      <w:sz w:val="32"/>
    </w:r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2443</Words>
  <Characters>2536</Characters>
  <Lines>0</Lines>
  <Paragraphs>0</Paragraphs>
  <TotalTime>374</TotalTime>
  <ScaleCrop>false</ScaleCrop>
  <LinksUpToDate>false</LinksUpToDate>
  <CharactersWithSpaces>2573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2024-02-26T03:24:00Z</cp:lastPrinted>
  <dcterms:modified xsi:type="dcterms:W3CDTF">2025-10-29T07:21:30Z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7FE6E4517B9D4DBBAE248FC7D48C22AE_13</vt:lpwstr>
  </property>
  <property fmtid="{D5CDD505-2E9C-101B-9397-08002B2CF9AE}" pid="4" name="KSOTemplateDocerSaveRecord">
    <vt:lpwstr>eyJoZGlkIjoiMjE4Yjk0MjkxMzlkOWYyYTA1YTAyZGI1MGQ3NmVhYTUiLCJ1c2VySWQiOiIxMTAwODU3MjkzIn0=</vt:lpwstr>
  </property>
</Properties>
</file>