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8E00F">
      <w:pPr>
        <w:pStyle w:val="6"/>
        <w:widowControl/>
        <w:shd w:val="clear" w:color="auto" w:fill="FFFFFF"/>
        <w:snapToGrid w:val="0"/>
        <w:spacing w:beforeAutospacing="0" w:afterAutospacing="0" w:line="520" w:lineRule="exact"/>
        <w:ind w:firstLine="880"/>
        <w:jc w:val="center"/>
        <w:rPr>
          <w:rFonts w:ascii="方正小标宋_GBK" w:hAnsi="方正小标宋_GBK" w:eastAsia="方正小标宋_GBK" w:cs="方正小标宋_GBK"/>
          <w:color w:val="000000"/>
          <w:sz w:val="44"/>
          <w:szCs w:val="44"/>
        </w:rPr>
      </w:pPr>
      <w:bookmarkStart w:id="0" w:name="_GoBack"/>
      <w:bookmarkEnd w:id="0"/>
      <w:r>
        <w:rPr>
          <w:rFonts w:hint="eastAsia" w:ascii="方正小标宋_GBK" w:hAnsi="方正小标宋_GBK" w:eastAsia="方正小标宋_GBK" w:cs="方正小标宋_GBK"/>
          <w:color w:val="000000"/>
          <w:sz w:val="44"/>
          <w:szCs w:val="44"/>
          <w:shd w:val="clear" w:color="auto" w:fill="FFFFFF"/>
        </w:rPr>
        <w:t>部门整体支出绩效自评报告</w:t>
      </w:r>
    </w:p>
    <w:p w14:paraId="24CF5C78">
      <w:pPr>
        <w:pStyle w:val="6"/>
        <w:widowControl/>
        <w:shd w:val="clear" w:color="auto" w:fill="FFFFFF"/>
        <w:snapToGrid w:val="0"/>
        <w:spacing w:beforeAutospacing="0" w:afterAutospacing="0" w:line="520" w:lineRule="exact"/>
        <w:ind w:firstLine="480"/>
        <w:jc w:val="center"/>
        <w:rPr>
          <w:rFonts w:ascii="仿宋_GB2312" w:eastAsia="仿宋_GB2312" w:cs="仿宋_GB2312"/>
          <w:color w:val="000000"/>
        </w:rPr>
      </w:pPr>
    </w:p>
    <w:p w14:paraId="31C593B2">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rPr>
      </w:pPr>
      <w:r>
        <w:rPr>
          <w:rFonts w:hint="eastAsia" w:ascii="标准粗黑" w:hAnsi="标准粗黑" w:eastAsia="标准粗黑" w:cs="标准粗黑"/>
          <w:color w:val="000000"/>
          <w:sz w:val="32"/>
          <w:szCs w:val="32"/>
          <w:shd w:val="clear" w:color="auto" w:fill="FFFFFF"/>
        </w:rPr>
        <w:t>一、部门、单位基本情况</w:t>
      </w:r>
    </w:p>
    <w:p w14:paraId="5928A9F7">
      <w:pPr>
        <w:pStyle w:val="3"/>
        <w:rPr>
          <w:rFonts w:ascii="楷体_GB2312" w:eastAsia="楷体_GB2312" w:cs="楷体_GB2312"/>
          <w:color w:val="000000"/>
          <w:kern w:val="0"/>
          <w:szCs w:val="32"/>
          <w:shd w:val="clear" w:color="auto" w:fill="FFFFFF"/>
        </w:rPr>
      </w:pPr>
      <w:r>
        <w:rPr>
          <w:rFonts w:ascii="楷体_GB2312" w:eastAsia="楷体_GB2312" w:cs="楷体_GB2312"/>
          <w:color w:val="000000"/>
          <w:kern w:val="0"/>
          <w:szCs w:val="32"/>
          <w:shd w:val="clear" w:color="auto" w:fill="FFFFFF"/>
        </w:rPr>
        <w:t>（一）机构设置情况</w:t>
      </w:r>
      <w:r>
        <w:rPr>
          <w:rFonts w:hint="eastAsia" w:ascii="楷体_GB2312" w:eastAsia="楷体_GB2312" w:cs="楷体_GB2312"/>
          <w:color w:val="000000"/>
          <w:kern w:val="0"/>
          <w:szCs w:val="32"/>
          <w:shd w:val="clear" w:color="auto" w:fill="FFFFFF"/>
        </w:rPr>
        <w:t>。</w:t>
      </w:r>
      <w:r>
        <w:rPr>
          <w:rFonts w:hint="eastAsia" w:ascii="仿宋" w:hAnsi="仿宋" w:eastAsia="仿宋"/>
          <w:szCs w:val="32"/>
        </w:rPr>
        <w:t>本单位内设5个股室，全部纳入2025年编制范围，内设股室分别为办公室，核算股，乡镇支付股，资金股，支付股。</w:t>
      </w:r>
    </w:p>
    <w:p w14:paraId="68051712">
      <w:pPr>
        <w:pStyle w:val="3"/>
        <w:rPr>
          <w:rFonts w:ascii="楷体_GB2312" w:eastAsia="楷体_GB2312" w:cs="楷体_GB2312"/>
          <w:color w:val="000000"/>
          <w:kern w:val="0"/>
          <w:szCs w:val="32"/>
          <w:shd w:val="clear" w:color="auto" w:fill="FFFFFF"/>
        </w:rPr>
      </w:pPr>
      <w:r>
        <w:rPr>
          <w:rFonts w:ascii="楷体_GB2312" w:eastAsia="楷体_GB2312" w:cs="楷体_GB2312"/>
          <w:color w:val="000000"/>
          <w:kern w:val="0"/>
          <w:szCs w:val="32"/>
          <w:shd w:val="clear" w:color="auto" w:fill="FFFFFF"/>
        </w:rPr>
        <w:t>（二）人员编制情况</w:t>
      </w:r>
      <w:r>
        <w:rPr>
          <w:rFonts w:hint="eastAsia" w:ascii="楷体_GB2312" w:eastAsia="楷体_GB2312" w:cs="楷体_GB2312"/>
          <w:color w:val="000000"/>
          <w:kern w:val="0"/>
          <w:szCs w:val="32"/>
          <w:shd w:val="clear" w:color="auto" w:fill="FFFFFF"/>
        </w:rPr>
        <w:t>。</w:t>
      </w:r>
      <w:r>
        <w:rPr>
          <w:rFonts w:hint="eastAsia" w:ascii="仿宋" w:hAnsi="仿宋" w:eastAsia="仿宋"/>
          <w:szCs w:val="32"/>
        </w:rPr>
        <w:t>本单位现有编制37人，在职人员37人，全部为参照公务员管理事业编制。</w:t>
      </w:r>
    </w:p>
    <w:p w14:paraId="7E974798">
      <w:pPr>
        <w:ind w:firstLine="640" w:firstLineChars="200"/>
        <w:rPr>
          <w:rFonts w:ascii="楷体_GB2312" w:eastAsia="楷体_GB2312" w:cs="楷体_GB2312"/>
          <w:color w:val="000000"/>
          <w:kern w:val="0"/>
          <w:szCs w:val="32"/>
          <w:shd w:val="clear" w:color="auto" w:fill="FFFFFF"/>
        </w:rPr>
      </w:pPr>
      <w:r>
        <w:rPr>
          <w:rFonts w:ascii="仿宋" w:hAnsi="仿宋" w:eastAsia="仿宋"/>
          <w:sz w:val="32"/>
          <w:szCs w:val="32"/>
        </w:rPr>
        <w:t>（三）主要职能职责</w:t>
      </w:r>
      <w:r>
        <w:rPr>
          <w:rFonts w:hint="eastAsia" w:ascii="仿宋" w:hAnsi="仿宋" w:eastAsia="仿宋"/>
          <w:sz w:val="32"/>
          <w:szCs w:val="32"/>
        </w:rPr>
        <w:t>。负责财政体制改革后国库管理的具体工作；负责实施国库管理制度改革，制定推进和完善国库改革相关制度办法；审核国库集中支付用款额度；办理财政直接支付业务；组织确定国库集中支付代理银行；负责国库集中支付资金清算负责指导县财政国库和集中收付管理工作并承办县财政局交办的其他事项。</w:t>
      </w:r>
    </w:p>
    <w:p w14:paraId="5B810A6B">
      <w:pPr>
        <w:pStyle w:val="3"/>
        <w:rPr>
          <w:rFonts w:ascii="楷体_GB2312" w:eastAsia="楷体_GB2312" w:cs="楷体_GB2312"/>
          <w:color w:val="000000"/>
          <w:kern w:val="0"/>
          <w:szCs w:val="32"/>
          <w:shd w:val="clear" w:color="auto" w:fill="FFFFFF"/>
        </w:rPr>
      </w:pPr>
      <w:r>
        <w:rPr>
          <w:rFonts w:ascii="楷体_GB2312" w:eastAsia="楷体_GB2312" w:cs="楷体_GB2312"/>
          <w:color w:val="000000"/>
          <w:kern w:val="0"/>
          <w:szCs w:val="32"/>
          <w:shd w:val="clear" w:color="auto" w:fill="FFFFFF"/>
        </w:rPr>
        <w:t>（四）绩效目标设定情况</w:t>
      </w:r>
      <w:r>
        <w:rPr>
          <w:rFonts w:hint="eastAsia" w:ascii="楷体_GB2312" w:eastAsia="楷体_GB2312" w:cs="楷体_GB2312"/>
          <w:color w:val="000000"/>
          <w:kern w:val="0"/>
          <w:szCs w:val="32"/>
          <w:shd w:val="clear" w:color="auto" w:fill="FFFFFF"/>
        </w:rPr>
        <w:t>。施国库管理制度改革，制定推进和完善国库改革相关制度办法；审核国库集中支付用款额度；办理财政直接支付业务；组织确定国库集中支付代理银行；负责国库集中支付资金清算负责指导各乡镇财政国库和集中收付管理工作并承办县财政局交办的其他事项。　　</w:t>
      </w:r>
    </w:p>
    <w:p w14:paraId="7BE8E119">
      <w:pPr>
        <w:snapToGrid w:val="0"/>
        <w:spacing w:line="520" w:lineRule="exact"/>
        <w:rPr>
          <w:rFonts w:ascii="标准粗黑" w:hAnsi="标准粗黑" w:eastAsia="标准粗黑" w:cs="标准粗黑"/>
          <w:color w:val="000000"/>
          <w:kern w:val="0"/>
          <w:sz w:val="32"/>
          <w:szCs w:val="32"/>
          <w:shd w:val="clear" w:color="auto" w:fill="FFFFFF"/>
        </w:rPr>
      </w:pPr>
      <w:r>
        <w:rPr>
          <w:rFonts w:hint="eastAsia" w:ascii="标准粗黑" w:hAnsi="标准粗黑" w:eastAsia="标准粗黑" w:cs="标准粗黑"/>
          <w:color w:val="000000"/>
          <w:kern w:val="0"/>
          <w:sz w:val="32"/>
          <w:szCs w:val="32"/>
          <w:shd w:val="clear" w:color="auto" w:fill="FFFFFF"/>
        </w:rPr>
        <w:t>二、部门整体支出管理及使用情况</w:t>
      </w:r>
    </w:p>
    <w:p w14:paraId="494EC40C">
      <w:pPr>
        <w:pStyle w:val="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14:paraId="68A9D623">
      <w:pPr>
        <w:shd w:val="clear" w:color="auto" w:fill="FFFFFF"/>
        <w:spacing w:line="640" w:lineRule="exact"/>
        <w:ind w:firstLine="640"/>
        <w:rPr>
          <w:rFonts w:ascii="仿宋" w:hAnsi="仿宋" w:eastAsia="仿宋" w:cs="仿宋_GB2312"/>
          <w:sz w:val="32"/>
          <w:szCs w:val="32"/>
        </w:rPr>
      </w:pPr>
      <w:r>
        <w:rPr>
          <w:rFonts w:hint="eastAsia" w:ascii="仿宋" w:hAnsi="仿宋" w:eastAsia="仿宋" w:cs="仿宋_GB2312"/>
          <w:b/>
          <w:bCs/>
          <w:spacing w:val="-2"/>
          <w:sz w:val="32"/>
          <w:szCs w:val="32"/>
        </w:rPr>
        <w:t>1.支出总体情况。</w:t>
      </w:r>
      <w:r>
        <w:rPr>
          <w:rFonts w:hint="eastAsia" w:ascii="仿宋" w:hAnsi="仿宋" w:eastAsia="仿宋" w:cs="仿宋_GB2312"/>
          <w:spacing w:val="-2"/>
          <w:sz w:val="32"/>
          <w:szCs w:val="32"/>
        </w:rPr>
        <w:t>2024年度，本单位</w:t>
      </w:r>
      <w:r>
        <w:rPr>
          <w:rFonts w:hint="eastAsia" w:ascii="仿宋" w:hAnsi="仿宋" w:eastAsia="仿宋" w:cs="仿宋_GB2312"/>
          <w:sz w:val="32"/>
          <w:szCs w:val="32"/>
        </w:rPr>
        <w:t>年度支出总计</w:t>
      </w:r>
      <w:r>
        <w:rPr>
          <w:rFonts w:ascii="仿宋" w:hAnsi="仿宋" w:eastAsia="仿宋" w:cs="仿宋_GB2312"/>
          <w:sz w:val="32"/>
          <w:szCs w:val="32"/>
        </w:rPr>
        <w:t>481.36</w:t>
      </w:r>
      <w:r>
        <w:rPr>
          <w:rFonts w:hint="eastAsia" w:ascii="仿宋" w:hAnsi="仿宋" w:eastAsia="仿宋" w:cs="仿宋_GB2312"/>
          <w:sz w:val="32"/>
          <w:szCs w:val="32"/>
        </w:rPr>
        <w:t>万元，其中本年支出合计</w:t>
      </w:r>
      <w:r>
        <w:rPr>
          <w:rFonts w:ascii="仿宋" w:hAnsi="仿宋" w:eastAsia="仿宋" w:cs="仿宋_GB2312"/>
          <w:sz w:val="32"/>
          <w:szCs w:val="32"/>
        </w:rPr>
        <w:t>481.36</w:t>
      </w:r>
      <w:r>
        <w:rPr>
          <w:rFonts w:hint="eastAsia" w:ascii="仿宋" w:hAnsi="仿宋" w:eastAsia="仿宋" w:cs="仿宋_GB2312"/>
          <w:sz w:val="32"/>
          <w:szCs w:val="32"/>
        </w:rPr>
        <w:t>万元。</w:t>
      </w:r>
    </w:p>
    <w:p w14:paraId="7556452C">
      <w:pPr>
        <w:pStyle w:val="13"/>
        <w:ind w:firstLine="643" w:firstLineChars="200"/>
        <w:rPr>
          <w:rFonts w:ascii="仿宋" w:hAnsi="仿宋" w:eastAsia="仿宋" w:cs="仿宋_GB2312"/>
          <w:sz w:val="32"/>
          <w:szCs w:val="32"/>
        </w:rPr>
      </w:pPr>
      <w:r>
        <w:rPr>
          <w:rFonts w:hint="eastAsia" w:ascii="仿宋" w:hAnsi="仿宋" w:eastAsia="仿宋" w:cs="仿宋_GB2312"/>
          <w:b/>
          <w:bCs/>
          <w:sz w:val="32"/>
          <w:szCs w:val="32"/>
        </w:rPr>
        <w:t>2.支出结构。</w:t>
      </w:r>
      <w:r>
        <w:rPr>
          <w:rFonts w:hint="eastAsia" w:ascii="仿宋" w:hAnsi="仿宋" w:eastAsia="仿宋" w:cs="仿宋_GB2312"/>
          <w:sz w:val="32"/>
          <w:szCs w:val="32"/>
        </w:rPr>
        <w:t>2024年度支出</w:t>
      </w:r>
      <w:r>
        <w:rPr>
          <w:rFonts w:ascii="仿宋" w:hAnsi="仿宋" w:eastAsia="仿宋" w:cs="仿宋_GB2312"/>
          <w:sz w:val="32"/>
          <w:szCs w:val="32"/>
        </w:rPr>
        <w:t>481.36</w:t>
      </w:r>
      <w:r>
        <w:rPr>
          <w:rFonts w:hint="eastAsia" w:ascii="仿宋" w:hAnsi="仿宋" w:eastAsia="仿宋" w:cs="仿宋_GB2312"/>
          <w:sz w:val="32"/>
          <w:szCs w:val="32"/>
        </w:rPr>
        <w:t>万元，其中：</w:t>
      </w:r>
    </w:p>
    <w:p w14:paraId="45508006">
      <w:pPr>
        <w:pStyle w:val="13"/>
        <w:ind w:firstLine="643" w:firstLineChars="200"/>
        <w:rPr>
          <w:rFonts w:ascii="仿宋" w:hAnsi="仿宋" w:eastAsia="仿宋" w:cs="仿宋_GB2312"/>
          <w:sz w:val="32"/>
          <w:szCs w:val="32"/>
        </w:rPr>
      </w:pPr>
      <w:r>
        <w:rPr>
          <w:rFonts w:hint="eastAsia" w:ascii="仿宋" w:hAnsi="仿宋" w:eastAsia="仿宋" w:cs="Calibri"/>
          <w:b/>
          <w:bCs/>
          <w:sz w:val="32"/>
          <w:szCs w:val="32"/>
        </w:rPr>
        <w:t>（1）按功能分类。</w:t>
      </w:r>
      <w:r>
        <w:rPr>
          <w:rFonts w:hint="eastAsia" w:ascii="仿宋" w:hAnsi="仿宋" w:eastAsia="仿宋" w:cs="仿宋_GB2312"/>
          <w:sz w:val="32"/>
          <w:szCs w:val="32"/>
        </w:rPr>
        <w:t>一般公共服务（类）财政事务（款）行政运行（项）</w:t>
      </w:r>
      <w:r>
        <w:rPr>
          <w:rFonts w:ascii="仿宋" w:hAnsi="仿宋" w:eastAsia="仿宋" w:cs="仿宋_GB2312"/>
          <w:sz w:val="32"/>
          <w:szCs w:val="32"/>
        </w:rPr>
        <w:t>481.36</w:t>
      </w:r>
      <w:r>
        <w:rPr>
          <w:rFonts w:hint="eastAsia" w:ascii="仿宋" w:hAnsi="仿宋" w:eastAsia="仿宋" w:cs="仿宋_GB2312"/>
          <w:sz w:val="32"/>
          <w:szCs w:val="32"/>
        </w:rPr>
        <w:t>万元。</w:t>
      </w:r>
    </w:p>
    <w:p w14:paraId="04C59FA5">
      <w:pPr>
        <w:shd w:val="clear" w:color="auto" w:fill="FFFFFF"/>
        <w:spacing w:line="640" w:lineRule="exact"/>
        <w:ind w:firstLine="640"/>
        <w:rPr>
          <w:rFonts w:ascii="仿宋" w:hAnsi="仿宋" w:eastAsia="仿宋" w:cs="仿宋_GB2312"/>
          <w:sz w:val="32"/>
          <w:szCs w:val="32"/>
        </w:rPr>
      </w:pPr>
      <w:r>
        <w:rPr>
          <w:rFonts w:hint="eastAsia" w:ascii="仿宋" w:hAnsi="仿宋" w:eastAsia="仿宋" w:cs="仿宋_GB2312"/>
          <w:sz w:val="32"/>
          <w:szCs w:val="32"/>
        </w:rPr>
        <w:t>（2）按支出性质和经济分类。</w:t>
      </w:r>
      <w:r>
        <w:rPr>
          <w:rFonts w:hint="eastAsia" w:ascii="仿宋" w:hAnsi="仿宋" w:eastAsia="仿宋" w:cs="Calibri"/>
          <w:sz w:val="32"/>
          <w:szCs w:val="32"/>
        </w:rPr>
        <w:t>基本支出</w:t>
      </w:r>
      <w:r>
        <w:rPr>
          <w:rFonts w:ascii="仿宋" w:hAnsi="仿宋" w:eastAsia="仿宋" w:cs="仿宋_GB2312"/>
          <w:sz w:val="32"/>
          <w:szCs w:val="32"/>
        </w:rPr>
        <w:t>481.36</w:t>
      </w:r>
      <w:r>
        <w:rPr>
          <w:rFonts w:hint="eastAsia" w:ascii="仿宋" w:hAnsi="仿宋" w:eastAsia="仿宋" w:cs="Calibri"/>
          <w:sz w:val="32"/>
          <w:szCs w:val="32"/>
        </w:rPr>
        <w:t>万元，其中人员经费</w:t>
      </w:r>
      <w:r>
        <w:rPr>
          <w:rFonts w:ascii="仿宋" w:hAnsi="仿宋" w:eastAsia="仿宋" w:cs="Calibri"/>
          <w:sz w:val="32"/>
          <w:szCs w:val="32"/>
        </w:rPr>
        <w:t>146</w:t>
      </w:r>
      <w:r>
        <w:rPr>
          <w:rFonts w:hint="eastAsia" w:ascii="仿宋" w:hAnsi="仿宋" w:eastAsia="仿宋" w:cs="Calibri"/>
          <w:sz w:val="32"/>
          <w:szCs w:val="32"/>
        </w:rPr>
        <w:t>.</w:t>
      </w:r>
      <w:r>
        <w:rPr>
          <w:rFonts w:ascii="仿宋" w:hAnsi="仿宋" w:eastAsia="仿宋" w:cs="Calibri"/>
          <w:sz w:val="32"/>
          <w:szCs w:val="32"/>
        </w:rPr>
        <w:t>8</w:t>
      </w:r>
      <w:r>
        <w:rPr>
          <w:rFonts w:hint="eastAsia" w:ascii="仿宋" w:hAnsi="仿宋" w:eastAsia="仿宋" w:cs="Calibri"/>
          <w:sz w:val="32"/>
          <w:szCs w:val="32"/>
        </w:rPr>
        <w:t>9万元、公用经费</w:t>
      </w:r>
      <w:r>
        <w:rPr>
          <w:rFonts w:ascii="仿宋" w:hAnsi="仿宋" w:eastAsia="仿宋" w:cs="Calibri"/>
          <w:sz w:val="32"/>
          <w:szCs w:val="32"/>
        </w:rPr>
        <w:t>334</w:t>
      </w:r>
      <w:r>
        <w:rPr>
          <w:rFonts w:hint="eastAsia" w:ascii="仿宋" w:hAnsi="仿宋" w:eastAsia="仿宋" w:cs="Calibri"/>
          <w:sz w:val="32"/>
          <w:szCs w:val="32"/>
        </w:rPr>
        <w:t>.</w:t>
      </w:r>
      <w:r>
        <w:rPr>
          <w:rFonts w:ascii="仿宋" w:hAnsi="仿宋" w:eastAsia="仿宋" w:cs="Calibri"/>
          <w:sz w:val="32"/>
          <w:szCs w:val="32"/>
        </w:rPr>
        <w:t>47</w:t>
      </w:r>
      <w:r>
        <w:rPr>
          <w:rFonts w:hint="eastAsia" w:ascii="仿宋" w:hAnsi="仿宋" w:eastAsia="仿宋" w:cs="Calibri"/>
          <w:sz w:val="32"/>
          <w:szCs w:val="32"/>
        </w:rPr>
        <w:t>万元。</w:t>
      </w:r>
    </w:p>
    <w:p w14:paraId="2AE1C630">
      <w:pPr>
        <w:pStyle w:val="6"/>
        <w:widowControl/>
        <w:shd w:val="clear" w:color="auto" w:fill="FFFFFF"/>
        <w:snapToGrid w:val="0"/>
        <w:spacing w:beforeAutospacing="0" w:afterAutospacing="0" w:line="520" w:lineRule="exact"/>
        <w:rPr>
          <w:rFonts w:ascii="楷体_GB2312" w:eastAsia="楷体_GB2312" w:cs="楷体_GB2312"/>
          <w:color w:val="000000"/>
          <w:sz w:val="32"/>
          <w:szCs w:val="32"/>
        </w:rPr>
      </w:pPr>
      <w:r>
        <w:rPr>
          <w:rFonts w:ascii="楷体_GB2312" w:eastAsia="楷体_GB2312" w:cs="楷体_GB2312"/>
          <w:color w:val="000000"/>
          <w:sz w:val="32"/>
          <w:szCs w:val="32"/>
          <w:shd w:val="clear" w:color="auto" w:fill="FFFFFF"/>
        </w:rPr>
        <w:t>（二）部门预算执行情况</w:t>
      </w:r>
    </w:p>
    <w:p w14:paraId="67FB446F">
      <w:pPr>
        <w:shd w:val="clear" w:color="auto" w:fill="FFFFFF"/>
        <w:spacing w:line="640" w:lineRule="exact"/>
        <w:ind w:firstLine="640"/>
        <w:rPr>
          <w:rFonts w:ascii="仿宋" w:hAnsi="仿宋" w:eastAsia="仿宋" w:cs="仿宋_GB2312"/>
          <w:sz w:val="32"/>
          <w:szCs w:val="32"/>
        </w:rPr>
      </w:pPr>
      <w:r>
        <w:rPr>
          <w:rFonts w:ascii="仿宋_GB2312" w:eastAsia="仿宋_GB2312" w:cs="仿宋_GB2312"/>
          <w:color w:val="000000"/>
          <w:sz w:val="32"/>
          <w:szCs w:val="32"/>
          <w:shd w:val="clear" w:color="auto" w:fill="FFFFFF"/>
        </w:rPr>
        <w:t>1.基本支出情况</w:t>
      </w:r>
      <w:r>
        <w:rPr>
          <w:rFonts w:hint="eastAsia" w:ascii="仿宋_GB2312" w:eastAsia="仿宋_GB2312" w:cs="仿宋_GB2312"/>
          <w:color w:val="000000"/>
          <w:sz w:val="32"/>
          <w:szCs w:val="32"/>
          <w:shd w:val="clear" w:color="auto" w:fill="FFFFFF"/>
        </w:rPr>
        <w:t>。</w:t>
      </w:r>
      <w:r>
        <w:rPr>
          <w:rFonts w:hint="eastAsia" w:ascii="仿宋" w:hAnsi="仿宋" w:eastAsia="仿宋" w:cs="仿宋_GB2312"/>
          <w:spacing w:val="-2"/>
          <w:sz w:val="32"/>
          <w:szCs w:val="32"/>
        </w:rPr>
        <w:t>2024年度</w:t>
      </w:r>
      <w:r>
        <w:rPr>
          <w:rFonts w:hint="eastAsia" w:ascii="仿宋" w:hAnsi="仿宋" w:eastAsia="仿宋" w:cs="Calibri"/>
          <w:sz w:val="32"/>
          <w:szCs w:val="32"/>
        </w:rPr>
        <w:t>基本支出</w:t>
      </w:r>
      <w:r>
        <w:rPr>
          <w:rFonts w:ascii="仿宋" w:hAnsi="仿宋" w:eastAsia="仿宋" w:cs="仿宋_GB2312"/>
          <w:sz w:val="32"/>
          <w:szCs w:val="32"/>
        </w:rPr>
        <w:t>481.36</w:t>
      </w:r>
      <w:r>
        <w:rPr>
          <w:rFonts w:hint="eastAsia" w:ascii="仿宋" w:hAnsi="仿宋" w:eastAsia="仿宋" w:cs="Calibri"/>
          <w:sz w:val="32"/>
          <w:szCs w:val="32"/>
        </w:rPr>
        <w:t>万元，其中人员经费</w:t>
      </w:r>
      <w:r>
        <w:rPr>
          <w:rFonts w:ascii="仿宋" w:hAnsi="仿宋" w:eastAsia="仿宋" w:cs="Calibri"/>
          <w:sz w:val="32"/>
          <w:szCs w:val="32"/>
        </w:rPr>
        <w:t>146</w:t>
      </w:r>
      <w:r>
        <w:rPr>
          <w:rFonts w:hint="eastAsia" w:ascii="仿宋" w:hAnsi="仿宋" w:eastAsia="仿宋" w:cs="Calibri"/>
          <w:sz w:val="32"/>
          <w:szCs w:val="32"/>
        </w:rPr>
        <w:t>.</w:t>
      </w:r>
      <w:r>
        <w:rPr>
          <w:rFonts w:ascii="仿宋" w:hAnsi="仿宋" w:eastAsia="仿宋" w:cs="Calibri"/>
          <w:sz w:val="32"/>
          <w:szCs w:val="32"/>
        </w:rPr>
        <w:t>8</w:t>
      </w:r>
      <w:r>
        <w:rPr>
          <w:rFonts w:hint="eastAsia" w:ascii="仿宋" w:hAnsi="仿宋" w:eastAsia="仿宋" w:cs="Calibri"/>
          <w:sz w:val="32"/>
          <w:szCs w:val="32"/>
        </w:rPr>
        <w:t>9万元、公用经费</w:t>
      </w:r>
      <w:r>
        <w:rPr>
          <w:rFonts w:ascii="仿宋" w:hAnsi="仿宋" w:eastAsia="仿宋" w:cs="Calibri"/>
          <w:sz w:val="32"/>
          <w:szCs w:val="32"/>
        </w:rPr>
        <w:t>334</w:t>
      </w:r>
      <w:r>
        <w:rPr>
          <w:rFonts w:hint="eastAsia" w:ascii="仿宋" w:hAnsi="仿宋" w:eastAsia="仿宋" w:cs="Calibri"/>
          <w:sz w:val="32"/>
          <w:szCs w:val="32"/>
        </w:rPr>
        <w:t>.</w:t>
      </w:r>
      <w:r>
        <w:rPr>
          <w:rFonts w:ascii="仿宋" w:hAnsi="仿宋" w:eastAsia="仿宋" w:cs="Calibri"/>
          <w:sz w:val="32"/>
          <w:szCs w:val="32"/>
        </w:rPr>
        <w:t>47</w:t>
      </w:r>
      <w:r>
        <w:rPr>
          <w:rFonts w:hint="eastAsia" w:ascii="仿宋" w:hAnsi="仿宋" w:eastAsia="仿宋" w:cs="Calibri"/>
          <w:sz w:val="32"/>
          <w:szCs w:val="32"/>
        </w:rPr>
        <w:t>万元。</w:t>
      </w:r>
    </w:p>
    <w:p w14:paraId="6D5BF589">
      <w:pPr>
        <w:pStyle w:val="13"/>
        <w:ind w:firstLine="640" w:firstLineChars="200"/>
        <w:rPr>
          <w:rFonts w:ascii="仿宋" w:hAnsi="仿宋" w:eastAsia="仿宋" w:cs="仿宋_GB2312"/>
          <w:sz w:val="32"/>
          <w:szCs w:val="32"/>
        </w:rPr>
      </w:pPr>
      <w:r>
        <w:rPr>
          <w:rFonts w:hint="eastAsia" w:ascii="仿宋" w:hAnsi="仿宋" w:eastAsia="仿宋" w:cs="仿宋_GB2312"/>
          <w:bCs/>
          <w:sz w:val="32"/>
          <w:szCs w:val="32"/>
        </w:rPr>
        <w:t>（1）人员经费。</w:t>
      </w:r>
      <w:r>
        <w:rPr>
          <w:rFonts w:hint="eastAsia" w:ascii="仿宋" w:hAnsi="仿宋" w:eastAsia="仿宋" w:cs="仿宋_GB2312"/>
          <w:sz w:val="32"/>
          <w:szCs w:val="32"/>
        </w:rPr>
        <w:t>计</w:t>
      </w:r>
      <w:r>
        <w:rPr>
          <w:rFonts w:ascii="仿宋" w:hAnsi="仿宋" w:eastAsia="仿宋" w:cs="Calibri"/>
          <w:sz w:val="32"/>
          <w:szCs w:val="32"/>
        </w:rPr>
        <w:t>146</w:t>
      </w:r>
      <w:r>
        <w:rPr>
          <w:rFonts w:hint="eastAsia" w:ascii="仿宋" w:hAnsi="仿宋" w:eastAsia="仿宋" w:cs="Calibri"/>
          <w:sz w:val="32"/>
          <w:szCs w:val="32"/>
        </w:rPr>
        <w:t>.</w:t>
      </w:r>
      <w:r>
        <w:rPr>
          <w:rFonts w:ascii="仿宋" w:hAnsi="仿宋" w:eastAsia="仿宋" w:cs="Calibri"/>
          <w:sz w:val="32"/>
          <w:szCs w:val="32"/>
        </w:rPr>
        <w:t>8</w:t>
      </w:r>
      <w:r>
        <w:rPr>
          <w:rFonts w:hint="eastAsia" w:ascii="仿宋" w:hAnsi="仿宋" w:eastAsia="仿宋" w:cs="Calibri"/>
          <w:sz w:val="32"/>
          <w:szCs w:val="32"/>
        </w:rPr>
        <w:t>9</w:t>
      </w:r>
      <w:r>
        <w:rPr>
          <w:rFonts w:hint="eastAsia" w:ascii="仿宋" w:hAnsi="仿宋" w:eastAsia="仿宋" w:cs="仿宋_GB2312"/>
          <w:sz w:val="32"/>
          <w:szCs w:val="32"/>
        </w:rPr>
        <w:t>万元，占基本支出的30.52%,主要包括基本工资、津贴补贴、奖金、机关事业单位基本养老保险缴费、职工基本医疗保险缴费、其他社会保障缴费、住房公积金、其他工资福利支出、离休费、抚恤金、生活补助、奖励金、其他对个人和家庭的补助等；</w:t>
      </w:r>
    </w:p>
    <w:p w14:paraId="0C26078E">
      <w:pPr>
        <w:pStyle w:val="13"/>
        <w:ind w:firstLine="640" w:firstLineChars="200"/>
        <w:rPr>
          <w:rFonts w:ascii="仿宋" w:hAnsi="仿宋" w:eastAsia="仿宋" w:cs="仿宋_GB2312"/>
          <w:sz w:val="32"/>
          <w:szCs w:val="32"/>
        </w:rPr>
      </w:pPr>
      <w:r>
        <w:rPr>
          <w:rFonts w:hint="eastAsia" w:ascii="仿宋" w:hAnsi="仿宋" w:eastAsia="仿宋" w:cs="仿宋_GB2312"/>
          <w:bCs/>
          <w:sz w:val="32"/>
          <w:szCs w:val="32"/>
        </w:rPr>
        <w:t>（2）公用经费。</w:t>
      </w:r>
      <w:r>
        <w:rPr>
          <w:rFonts w:hint="eastAsia" w:ascii="仿宋" w:hAnsi="仿宋" w:eastAsia="仿宋" w:cs="仿宋_GB2312"/>
          <w:sz w:val="32"/>
          <w:szCs w:val="32"/>
        </w:rPr>
        <w:t>计</w:t>
      </w:r>
      <w:r>
        <w:rPr>
          <w:rFonts w:ascii="仿宋" w:hAnsi="仿宋" w:eastAsia="仿宋" w:cs="Calibri"/>
          <w:sz w:val="32"/>
          <w:szCs w:val="32"/>
        </w:rPr>
        <w:t>334</w:t>
      </w:r>
      <w:r>
        <w:rPr>
          <w:rFonts w:hint="eastAsia" w:ascii="仿宋" w:hAnsi="仿宋" w:eastAsia="仿宋" w:cs="Calibri"/>
          <w:sz w:val="32"/>
          <w:szCs w:val="32"/>
        </w:rPr>
        <w:t>.</w:t>
      </w:r>
      <w:r>
        <w:rPr>
          <w:rFonts w:ascii="仿宋" w:hAnsi="仿宋" w:eastAsia="仿宋" w:cs="Calibri"/>
          <w:sz w:val="32"/>
          <w:szCs w:val="32"/>
        </w:rPr>
        <w:t>47</w:t>
      </w:r>
      <w:r>
        <w:rPr>
          <w:rFonts w:hint="eastAsia" w:ascii="仿宋" w:hAnsi="仿宋" w:eastAsia="仿宋" w:cs="仿宋_GB2312"/>
          <w:sz w:val="32"/>
          <w:szCs w:val="32"/>
        </w:rPr>
        <w:t>万元，占基本支出的69.48%，主要包括办公费、印刷费、咨询费、水费、电费、差旅费、工会经费、其他商品和服务支出、办公设备购置等。</w:t>
      </w:r>
    </w:p>
    <w:p w14:paraId="674D461F">
      <w:pPr>
        <w:shd w:val="clear" w:color="auto" w:fill="FFFFFF"/>
        <w:spacing w:line="640" w:lineRule="exact"/>
        <w:ind w:firstLine="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2.项目支出情况</w:t>
      </w:r>
      <w:r>
        <w:rPr>
          <w:rFonts w:hint="eastAsia" w:ascii="仿宋_GB2312" w:eastAsia="仿宋_GB2312" w:cs="仿宋_GB2312"/>
          <w:color w:val="000000"/>
          <w:sz w:val="32"/>
          <w:szCs w:val="32"/>
          <w:shd w:val="clear" w:color="auto" w:fill="FFFFFF"/>
        </w:rPr>
        <w:t>。</w:t>
      </w:r>
    </w:p>
    <w:p w14:paraId="497BF91C">
      <w:pPr>
        <w:shd w:val="clear" w:color="auto" w:fill="FFFFFF"/>
        <w:spacing w:line="640" w:lineRule="exact"/>
        <w:ind w:firstLine="640"/>
        <w:rPr>
          <w:rFonts w:ascii="仿宋" w:hAnsi="仿宋" w:eastAsia="仿宋" w:cs="仿宋_GB2312"/>
          <w:spacing w:val="-2"/>
          <w:sz w:val="32"/>
          <w:szCs w:val="32"/>
        </w:rPr>
      </w:pPr>
      <w:r>
        <w:rPr>
          <w:rFonts w:hint="eastAsia" w:ascii="仿宋_GB2312" w:eastAsia="仿宋_GB2312" w:cs="仿宋_GB2312"/>
          <w:color w:val="000000"/>
          <w:sz w:val="32"/>
          <w:szCs w:val="32"/>
          <w:shd w:val="clear" w:color="auto" w:fill="FFFFFF"/>
        </w:rPr>
        <w:t>（</w:t>
      </w:r>
      <w:r>
        <w:rPr>
          <w:rFonts w:hint="eastAsia" w:ascii="仿宋" w:hAnsi="仿宋" w:eastAsia="仿宋" w:cs="仿宋_GB2312"/>
          <w:bCs/>
          <w:spacing w:val="-2"/>
          <w:sz w:val="32"/>
          <w:szCs w:val="32"/>
        </w:rPr>
        <w:t>1）专项资金收支情况。</w:t>
      </w:r>
      <w:r>
        <w:rPr>
          <w:rFonts w:hint="eastAsia" w:ascii="仿宋" w:hAnsi="仿宋" w:eastAsia="仿宋" w:cs="仿宋_GB2312"/>
          <w:spacing w:val="-2"/>
          <w:sz w:val="32"/>
          <w:szCs w:val="32"/>
        </w:rPr>
        <w:t>2024年度项目支出资金共落实万元，本年度财政安排0万元。</w:t>
      </w:r>
    </w:p>
    <w:p w14:paraId="39D67493">
      <w:pPr>
        <w:shd w:val="clear" w:color="auto" w:fill="FFFFFF"/>
        <w:spacing w:line="640" w:lineRule="exact"/>
        <w:ind w:firstLine="640"/>
        <w:rPr>
          <w:rFonts w:ascii="仿宋" w:hAnsi="仿宋" w:eastAsia="仿宋" w:cs="Calibri"/>
          <w:sz w:val="32"/>
          <w:szCs w:val="32"/>
        </w:rPr>
      </w:pPr>
      <w:r>
        <w:rPr>
          <w:rFonts w:hint="eastAsia" w:ascii="仿宋" w:hAnsi="仿宋" w:eastAsia="仿宋" w:cs="仿宋_GB2312"/>
          <w:bCs/>
          <w:spacing w:val="-2"/>
          <w:sz w:val="32"/>
          <w:szCs w:val="32"/>
        </w:rPr>
        <w:t>（2）专项资金（主要指财政资金）实际使用情况分析。</w:t>
      </w:r>
      <w:r>
        <w:rPr>
          <w:rFonts w:hint="eastAsia" w:ascii="仿宋" w:hAnsi="仿宋" w:eastAsia="仿宋" w:cs="仿宋_GB2312"/>
          <w:spacing w:val="-2"/>
          <w:sz w:val="32"/>
          <w:szCs w:val="32"/>
        </w:rPr>
        <w:t>本单位2024年度无专项资金</w:t>
      </w:r>
      <w:r>
        <w:rPr>
          <w:rFonts w:hint="eastAsia" w:ascii="仿宋" w:hAnsi="仿宋" w:eastAsia="仿宋" w:cs="Calibri"/>
          <w:sz w:val="32"/>
          <w:szCs w:val="32"/>
        </w:rPr>
        <w:t>。</w:t>
      </w:r>
    </w:p>
    <w:p w14:paraId="34406F07">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spacing w:val="-2"/>
          <w:sz w:val="32"/>
          <w:szCs w:val="32"/>
        </w:rPr>
        <w:t>（3）专项资金管理情况分析，主要包括管理制度、办法的制订及执行情况。本单位2024年度无专项资金。</w:t>
      </w:r>
    </w:p>
    <w:p w14:paraId="5D161339">
      <w:pPr>
        <w:pStyle w:val="13"/>
        <w:ind w:firstLine="640" w:firstLineChars="200"/>
        <w:rPr>
          <w:rFonts w:ascii="楷体_GB2312" w:eastAsia="楷体_GB2312" w:cs="楷体_GB2312"/>
          <w:sz w:val="32"/>
          <w:szCs w:val="32"/>
          <w:shd w:val="clear" w:color="auto" w:fill="FFFFFF"/>
        </w:rPr>
      </w:pPr>
      <w:r>
        <w:rPr>
          <w:rFonts w:ascii="楷体_GB2312" w:eastAsia="楷体_GB2312" w:cs="楷体_GB2312"/>
          <w:sz w:val="32"/>
          <w:szCs w:val="32"/>
          <w:shd w:val="clear" w:color="auto" w:fill="FFFFFF"/>
        </w:rPr>
        <w:t>（三）"三公"经费使用和管理情况</w:t>
      </w:r>
      <w:r>
        <w:rPr>
          <w:rFonts w:hint="eastAsia" w:ascii="楷体_GB2312" w:eastAsia="楷体_GB2312" w:cs="楷体_GB2312"/>
          <w:sz w:val="32"/>
          <w:szCs w:val="32"/>
          <w:shd w:val="clear" w:color="auto" w:fill="FFFFFF"/>
        </w:rPr>
        <w:t>。</w:t>
      </w:r>
    </w:p>
    <w:p w14:paraId="561D512D">
      <w:pPr>
        <w:pStyle w:val="13"/>
        <w:ind w:firstLine="640" w:firstLineChars="200"/>
        <w:rPr>
          <w:rFonts w:ascii="仿宋" w:hAnsi="仿宋" w:eastAsia="仿宋" w:cs="仿宋_GB2312"/>
          <w:sz w:val="32"/>
          <w:szCs w:val="32"/>
        </w:rPr>
      </w:pPr>
      <w:r>
        <w:rPr>
          <w:rFonts w:hint="eastAsia" w:ascii="仿宋" w:hAnsi="仿宋" w:eastAsia="仿宋" w:cs="仿宋_GB2312"/>
          <w:sz w:val="32"/>
          <w:szCs w:val="32"/>
        </w:rPr>
        <w:t>2024年度“三公”经费支出0万元，其中公务接待费支出0万元,公务用车运行维护费支出0元，无因公出国（境）费0元。</w:t>
      </w:r>
      <w:r>
        <w:rPr>
          <w:rFonts w:ascii="仿宋" w:hAnsi="仿宋" w:eastAsia="仿宋" w:cs="Calibri"/>
          <w:bCs/>
          <w:sz w:val="32"/>
          <w:szCs w:val="32"/>
        </w:rPr>
        <w:t>①</w:t>
      </w:r>
      <w:r>
        <w:rPr>
          <w:rFonts w:hint="eastAsia" w:ascii="仿宋" w:hAnsi="仿宋" w:eastAsia="仿宋" w:cs="仿宋_GB2312"/>
          <w:bCs/>
          <w:sz w:val="32"/>
          <w:szCs w:val="32"/>
        </w:rPr>
        <w:t>公务接待费</w:t>
      </w:r>
      <w:r>
        <w:rPr>
          <w:rFonts w:hint="eastAsia" w:ascii="仿宋" w:hAnsi="仿宋" w:eastAsia="仿宋" w:cs="仿宋_GB2312"/>
          <w:sz w:val="32"/>
          <w:szCs w:val="32"/>
        </w:rPr>
        <w:t>支出决算为0万元，全年共接待来访团组0批次、来宾0人次；</w:t>
      </w:r>
      <w:r>
        <w:rPr>
          <w:rFonts w:ascii="仿宋" w:hAnsi="仿宋" w:eastAsia="仿宋" w:cs="Calibri"/>
          <w:bCs/>
          <w:sz w:val="32"/>
          <w:szCs w:val="32"/>
        </w:rPr>
        <w:t>②</w:t>
      </w:r>
      <w:r>
        <w:rPr>
          <w:rFonts w:hint="eastAsia" w:ascii="仿宋" w:hAnsi="仿宋" w:eastAsia="仿宋" w:cs="仿宋_GB2312"/>
          <w:bCs/>
          <w:sz w:val="32"/>
          <w:szCs w:val="32"/>
        </w:rPr>
        <w:t>公务用车运行维护费</w:t>
      </w:r>
      <w:r>
        <w:rPr>
          <w:rFonts w:hint="eastAsia" w:ascii="仿宋" w:hAnsi="仿宋" w:eastAsia="仿宋" w:cs="仿宋_GB2312"/>
          <w:sz w:val="32"/>
          <w:szCs w:val="32"/>
        </w:rPr>
        <w:t>支出决算为0万元。</w:t>
      </w:r>
    </w:p>
    <w:p w14:paraId="3783B8BA">
      <w:pPr>
        <w:pStyle w:val="13"/>
        <w:ind w:firstLine="640" w:firstLineChars="200"/>
        <w:rPr>
          <w:rFonts w:ascii="楷体_GB2312" w:eastAsia="楷体_GB2312" w:cs="楷体_GB2312"/>
          <w:sz w:val="32"/>
          <w:szCs w:val="32"/>
        </w:rPr>
      </w:pPr>
      <w:r>
        <w:rPr>
          <w:rFonts w:hint="eastAsia" w:ascii="仿宋" w:hAnsi="仿宋" w:eastAsia="仿宋" w:cs="仿宋_GB2312"/>
          <w:sz w:val="32"/>
          <w:szCs w:val="32"/>
        </w:rPr>
        <w:t>近几年来，由于严格执行中央“八项规定”精神等纪律规定，“三公”经费支出得到有效控制。</w:t>
      </w:r>
    </w:p>
    <w:p w14:paraId="7013683E">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三、政府性基金预算支出情况</w:t>
      </w:r>
    </w:p>
    <w:p w14:paraId="0707E0BD">
      <w:pPr>
        <w:pStyle w:val="6"/>
        <w:widowControl/>
        <w:shd w:val="clear" w:color="auto" w:fill="FFFFFF"/>
        <w:snapToGrid w:val="0"/>
        <w:spacing w:beforeAutospacing="0" w:afterAutospacing="0" w:line="52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本单无政府性基金预算支出情况。</w:t>
      </w:r>
    </w:p>
    <w:p w14:paraId="34D953E3">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四、国有资本经营预算支出情况</w:t>
      </w:r>
    </w:p>
    <w:p w14:paraId="4B6BBFA7">
      <w:pPr>
        <w:pStyle w:val="6"/>
        <w:widowControl/>
        <w:shd w:val="clear" w:color="auto" w:fill="FFFFFF"/>
        <w:snapToGrid w:val="0"/>
        <w:spacing w:beforeAutospacing="0" w:afterAutospacing="0" w:line="52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本单位无国有资本经营预算支出情况。</w:t>
      </w:r>
    </w:p>
    <w:p w14:paraId="1CB3B5C4">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五、社会保险基金预算支出情况</w:t>
      </w:r>
    </w:p>
    <w:p w14:paraId="376866DF">
      <w:pPr>
        <w:pStyle w:val="6"/>
        <w:widowControl/>
        <w:shd w:val="clear" w:color="auto" w:fill="FFFFFF"/>
        <w:snapToGrid w:val="0"/>
        <w:spacing w:beforeAutospacing="0" w:afterAutospacing="0" w:line="52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本单位无社会保险基金预算支出情况。</w:t>
      </w:r>
    </w:p>
    <w:p w14:paraId="3244B5C7">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六、部门整体支出绩效情况</w:t>
      </w:r>
    </w:p>
    <w:p w14:paraId="4AFC350C">
      <w:pPr>
        <w:pStyle w:val="6"/>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p>
    <w:p w14:paraId="21E15783">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spacing w:val="-2"/>
          <w:sz w:val="32"/>
          <w:szCs w:val="32"/>
        </w:rPr>
        <w:t>反映部门履职及履职效益情况。主要从部门整体支出的经济性、效率性、有效性和可持续性等方面进行量化、具体分析，沅陵县国库集中支付核算中心部门整体支出绩效评价得分98分。</w:t>
      </w:r>
    </w:p>
    <w:p w14:paraId="588AF86F">
      <w:pPr>
        <w:shd w:val="clear" w:color="auto" w:fill="FFFFFF"/>
        <w:spacing w:line="64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（二）评价指标分析（或综合评价情况）。</w:t>
      </w:r>
    </w:p>
    <w:p w14:paraId="4D92D510">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b/>
          <w:bCs/>
          <w:spacing w:val="-2"/>
          <w:sz w:val="32"/>
          <w:szCs w:val="32"/>
        </w:rPr>
        <w:t>经济性分析：</w:t>
      </w:r>
      <w:r>
        <w:rPr>
          <w:rFonts w:hint="eastAsia" w:ascii="仿宋" w:hAnsi="仿宋" w:eastAsia="仿宋" w:cs="仿宋_GB2312"/>
          <w:spacing w:val="-2"/>
          <w:sz w:val="32"/>
          <w:szCs w:val="32"/>
        </w:rPr>
        <w:t>在支出执行方面，一是严格按预算执行；二是严格按支出政策标准执行；三是从严控制和降低行政运行经费支出、尤其是“三公”经费支出。</w:t>
      </w:r>
    </w:p>
    <w:p w14:paraId="0FF5C420">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b/>
          <w:bCs/>
          <w:spacing w:val="-2"/>
          <w:sz w:val="32"/>
          <w:szCs w:val="32"/>
        </w:rPr>
        <w:t>效率性分析：</w:t>
      </w:r>
      <w:r>
        <w:rPr>
          <w:rFonts w:hint="eastAsia" w:ascii="仿宋" w:hAnsi="仿宋" w:eastAsia="仿宋" w:cs="仿宋_GB2312"/>
          <w:spacing w:val="-2"/>
          <w:sz w:val="32"/>
          <w:szCs w:val="32"/>
        </w:rPr>
        <w:t>（主要是对各项工作、专项完成的进度及质量等情况进行分析）严格按照财经法规、制度和纪律执行相关支出事项。</w:t>
      </w:r>
    </w:p>
    <w:p w14:paraId="4B5F5D48">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b/>
          <w:bCs/>
          <w:spacing w:val="-2"/>
          <w:sz w:val="32"/>
          <w:szCs w:val="32"/>
        </w:rPr>
        <w:t>有效性分析：</w:t>
      </w:r>
      <w:r>
        <w:rPr>
          <w:rFonts w:hint="eastAsia" w:ascii="仿宋" w:hAnsi="仿宋" w:eastAsia="仿宋" w:cs="仿宋_GB2312"/>
          <w:spacing w:val="-2"/>
          <w:sz w:val="32"/>
          <w:szCs w:val="32"/>
        </w:rPr>
        <w:t>（主要是对反映部门整体支出使用效果的个性指标进行分析）确保单位关正常运转，保障县单位职能工作开展的必要支出。</w:t>
      </w:r>
    </w:p>
    <w:p w14:paraId="72B361BA">
      <w:pPr>
        <w:shd w:val="clear" w:color="auto" w:fill="FFFFFF"/>
        <w:spacing w:line="640" w:lineRule="exact"/>
        <w:ind w:firstLine="640"/>
        <w:rPr>
          <w:rFonts w:ascii="楷体_GB2312" w:eastAsia="楷体_GB2312" w:cs="楷体_GB2312"/>
          <w:color w:val="000000"/>
          <w:sz w:val="32"/>
          <w:szCs w:val="32"/>
        </w:rPr>
      </w:pPr>
      <w:r>
        <w:rPr>
          <w:rFonts w:hint="eastAsia" w:ascii="仿宋" w:hAnsi="仿宋" w:eastAsia="仿宋" w:cs="仿宋_GB2312"/>
          <w:b/>
          <w:bCs/>
          <w:spacing w:val="-2"/>
          <w:sz w:val="32"/>
          <w:szCs w:val="32"/>
        </w:rPr>
        <w:t>可持续性分析：</w:t>
      </w:r>
      <w:r>
        <w:rPr>
          <w:rFonts w:hint="eastAsia" w:ascii="仿宋" w:hAnsi="仿宋" w:eastAsia="仿宋" w:cs="仿宋_GB2312"/>
          <w:spacing w:val="-2"/>
          <w:sz w:val="32"/>
          <w:szCs w:val="32"/>
        </w:rPr>
        <w:t>（主要是对支出完成后，后续政策、资金、人员机构安排和管理措施等影响项目持续发展的因素进行分析）本部门支出基本上属机构运行必要支出，各年度支出变化不大。</w:t>
      </w:r>
    </w:p>
    <w:p w14:paraId="001AAE9A">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七、存在的问题及原因分析</w:t>
      </w:r>
    </w:p>
    <w:p w14:paraId="72CAAA5A">
      <w:pPr>
        <w:shd w:val="clear" w:color="auto" w:fill="FFFFFF"/>
        <w:spacing w:line="640" w:lineRule="exact"/>
        <w:ind w:firstLine="640"/>
        <w:rPr>
          <w:rFonts w:ascii="仿宋" w:hAnsi="仿宋" w:eastAsia="仿宋" w:cs="仿宋_GB2312"/>
          <w:spacing w:val="-2"/>
          <w:sz w:val="32"/>
          <w:szCs w:val="32"/>
        </w:rPr>
      </w:pPr>
      <w:r>
        <w:rPr>
          <w:rFonts w:hint="eastAsia" w:ascii="仿宋" w:hAnsi="仿宋" w:eastAsia="仿宋" w:cs="仿宋_GB2312"/>
          <w:b/>
          <w:bCs/>
          <w:spacing w:val="-2"/>
          <w:sz w:val="32"/>
          <w:szCs w:val="32"/>
        </w:rPr>
        <w:t>在预算执行方面：</w:t>
      </w:r>
      <w:r>
        <w:rPr>
          <w:rFonts w:hint="eastAsia" w:ascii="仿宋" w:hAnsi="仿宋" w:eastAsia="仿宋" w:cs="仿宋_GB2312"/>
          <w:spacing w:val="-2"/>
          <w:sz w:val="32"/>
          <w:szCs w:val="32"/>
        </w:rPr>
        <w:t>由于县财政预算资金拨付难以实现均衡拨付、及时拨付，导致年末年初结转指标较大，影响部门预算执行到位率，在“预算完成率”、“预算控制率”、“结余结转率”等指标方面绩效评价得分低。</w:t>
      </w:r>
    </w:p>
    <w:p w14:paraId="0744A92E">
      <w:pPr>
        <w:pStyle w:val="6"/>
        <w:widowControl/>
        <w:shd w:val="clear" w:color="auto" w:fill="FFFFFF"/>
        <w:snapToGrid w:val="0"/>
        <w:spacing w:beforeAutospacing="0" w:afterAutospacing="0" w:line="520" w:lineRule="exact"/>
        <w:rPr>
          <w:rFonts w:ascii="标准粗黑" w:hAnsi="标准粗黑" w:eastAsia="标准粗黑" w:cs="标准粗黑"/>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八、下一步改进措施</w:t>
      </w:r>
    </w:p>
    <w:p w14:paraId="7C2CC3C0">
      <w:pPr>
        <w:spacing w:line="64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因绩效评价指标体系复杂，量化困难，存在一定的专业难度，绩效评价工作人员工作吃力，需加强培训和指导。</w:t>
      </w:r>
    </w:p>
    <w:p w14:paraId="25D11D32">
      <w:pPr>
        <w:pStyle w:val="6"/>
        <w:widowControl/>
        <w:shd w:val="clear" w:color="auto" w:fill="FFFFFF"/>
        <w:snapToGrid w:val="0"/>
        <w:spacing w:beforeAutospacing="0" w:afterAutospacing="0" w:line="520" w:lineRule="exact"/>
        <w:rPr>
          <w:rFonts w:ascii="宋体" w:hAnsi="宋体" w:eastAsia="宋体" w:cs="宋体"/>
          <w:color w:val="000000"/>
          <w:sz w:val="32"/>
          <w:szCs w:val="32"/>
          <w:shd w:val="clear" w:color="auto" w:fill="FFFFFF"/>
        </w:rPr>
      </w:pPr>
      <w:r>
        <w:rPr>
          <w:rFonts w:hint="eastAsia" w:ascii="标准粗黑" w:hAnsi="标准粗黑" w:eastAsia="标准粗黑" w:cs="标准粗黑"/>
          <w:color w:val="000000"/>
          <w:sz w:val="32"/>
          <w:szCs w:val="32"/>
          <w:shd w:val="clear" w:color="auto" w:fill="FFFFFF"/>
        </w:rPr>
        <w:t>九、其他需要说明的情况</w:t>
      </w:r>
      <w:r>
        <w:rPr>
          <w:rFonts w:hint="eastAsia" w:ascii="宋体" w:hAnsi="宋体" w:eastAsia="宋体" w:cs="宋体"/>
          <w:color w:val="000000"/>
          <w:sz w:val="32"/>
          <w:szCs w:val="32"/>
          <w:shd w:val="clear" w:color="auto" w:fill="FFFFFF"/>
        </w:rPr>
        <w:t>。</w:t>
      </w:r>
    </w:p>
    <w:p w14:paraId="22A4185D">
      <w:pPr>
        <w:pStyle w:val="6"/>
        <w:widowControl/>
        <w:shd w:val="clear" w:color="auto" w:fill="FFFFFF"/>
        <w:snapToGrid w:val="0"/>
        <w:spacing w:beforeAutospacing="0" w:afterAutospacing="0" w:line="520" w:lineRule="exact"/>
        <w:rPr>
          <w:rFonts w:ascii="仿宋" w:hAnsi="仿宋" w:eastAsia="仿宋" w:cs="仿宋_GB2312"/>
          <w:spacing w:val="-2"/>
          <w:kern w:val="2"/>
          <w:sz w:val="32"/>
          <w:szCs w:val="32"/>
        </w:rPr>
      </w:pPr>
      <w:r>
        <w:rPr>
          <w:rFonts w:hint="eastAsia" w:ascii="仿宋" w:hAnsi="仿宋" w:eastAsia="仿宋" w:cs="仿宋_GB2312"/>
          <w:spacing w:val="-2"/>
          <w:kern w:val="2"/>
          <w:sz w:val="32"/>
          <w:szCs w:val="32"/>
        </w:rPr>
        <w:t>无。</w:t>
      </w:r>
    </w:p>
    <w:p w14:paraId="23782235">
      <w:pPr>
        <w:pStyle w:val="6"/>
        <w:widowControl/>
        <w:shd w:val="clear" w:color="auto" w:fill="FFFFFF"/>
        <w:snapToGrid w:val="0"/>
        <w:spacing w:beforeAutospacing="0" w:afterAutospacing="0" w:line="520" w:lineRule="exact"/>
        <w:rPr>
          <w:rFonts w:ascii="仿宋" w:hAnsi="仿宋" w:eastAsia="仿宋" w:cs="仿宋_GB2312"/>
          <w:spacing w:val="-2"/>
          <w:kern w:val="2"/>
          <w:sz w:val="32"/>
          <w:szCs w:val="32"/>
        </w:rPr>
      </w:pPr>
    </w:p>
    <w:p w14:paraId="10BE129A">
      <w:pPr>
        <w:spacing w:line="640" w:lineRule="exact"/>
        <w:ind w:firstLine="632" w:firstLineChars="200"/>
        <w:rPr>
          <w:rFonts w:ascii="仿宋" w:hAnsi="仿宋" w:eastAsia="仿宋" w:cs="仿宋_GB2312"/>
          <w:spacing w:val="-2"/>
          <w:sz w:val="32"/>
          <w:szCs w:val="32"/>
        </w:rPr>
      </w:pPr>
    </w:p>
    <w:p w14:paraId="1C9A5ED4">
      <w:pPr>
        <w:spacing w:line="64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 xml:space="preserve">                        沅陵县国库集中支付核算中心</w:t>
      </w:r>
    </w:p>
    <w:p w14:paraId="2BE86EAE">
      <w:pPr>
        <w:spacing w:line="64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 xml:space="preserve">                              2025年5月21日</w:t>
      </w:r>
    </w:p>
    <w:p w14:paraId="657DDDDD">
      <w:pPr>
        <w:pStyle w:val="6"/>
        <w:widowControl/>
        <w:shd w:val="clear" w:color="auto" w:fill="FFFFFF"/>
        <w:snapToGrid w:val="0"/>
        <w:spacing w:beforeAutospacing="0" w:afterAutospacing="0" w:line="520" w:lineRule="exact"/>
        <w:rPr>
          <w:rFonts w:ascii="仿宋" w:hAnsi="仿宋" w:eastAsia="仿宋" w:cs="仿宋_GB2312"/>
          <w:spacing w:val="-2"/>
          <w:kern w:val="2"/>
          <w:sz w:val="32"/>
          <w:szCs w:val="32"/>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10D511C-5BB0-4A88-B6A0-C60A29FF61EF}"/>
  </w:font>
  <w:font w:name="Calibri Light">
    <w:panose1 w:val="020F0302020204030204"/>
    <w:charset w:val="00"/>
    <w:family w:val="roman"/>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A67D2CD4-C444-4755-B686-6FEE2CB9072A}"/>
  </w:font>
  <w:font w:name="方正小标宋_GBK">
    <w:panose1 w:val="03000509000000000000"/>
    <w:charset w:val="86"/>
    <w:family w:val="script"/>
    <w:pitch w:val="default"/>
    <w:sig w:usb0="00000001" w:usb1="080E0000" w:usb2="00000000" w:usb3="00000000" w:csb0="00040000" w:csb1="00000000"/>
    <w:embedRegular r:id="rId3" w:fontKey="{0DD5EE45-4074-4144-80BE-0389145F4D5F}"/>
  </w:font>
  <w:font w:name="仿宋_GB2312">
    <w:panose1 w:val="02010609030101010101"/>
    <w:charset w:val="86"/>
    <w:family w:val="modern"/>
    <w:pitch w:val="default"/>
    <w:sig w:usb0="00000001" w:usb1="080E0000" w:usb2="00000000" w:usb3="00000000" w:csb0="00040000" w:csb1="00000000"/>
    <w:embedRegular r:id="rId4" w:fontKey="{998B91B4-5716-4200-A285-B7CB7F7D1D85}"/>
  </w:font>
  <w:font w:name="标准粗黑">
    <w:panose1 w:val="02000503000000000000"/>
    <w:charset w:val="86"/>
    <w:family w:val="auto"/>
    <w:pitch w:val="default"/>
    <w:sig w:usb0="8000002F" w:usb1="084164FA" w:usb2="00000012" w:usb3="00000000" w:csb0="00040001" w:csb1="00000000"/>
    <w:embedRegular r:id="rId5" w:fontKey="{D8E45193-DAC1-4549-9B66-FA61BB55ECBC}"/>
  </w:font>
  <w:font w:name="仿宋">
    <w:panose1 w:val="02010609060101010101"/>
    <w:charset w:val="86"/>
    <w:family w:val="modern"/>
    <w:pitch w:val="default"/>
    <w:sig w:usb0="800002BF" w:usb1="38CF7CFA" w:usb2="00000016" w:usb3="00000000" w:csb0="00040001" w:csb1="00000000"/>
    <w:embedRegular r:id="rId6" w:fontKey="{FD2B7DDA-7779-4A1F-AD83-D4279D6A5E4F}"/>
  </w:font>
  <w:font w:name="方正仿宋_GB2312">
    <w:altName w:val="仿宋"/>
    <w:panose1 w:val="00000000000000000000"/>
    <w:charset w:val="86"/>
    <w:family w:val="auto"/>
    <w:pitch w:val="default"/>
    <w:sig w:usb0="00000000" w:usb1="00000000" w:usb2="00000012" w:usb3="00000000" w:csb0="00040001" w:csb1="00000000"/>
    <w:embedRegular r:id="rId7" w:fontKey="{482535E3-758D-4369-906A-568F199C9658}"/>
  </w:font>
  <w:font w:name="Arial Unicode MS">
    <w:altName w:val="Arial"/>
    <w:panose1 w:val="00000000000000000000"/>
    <w:charset w:val="00"/>
    <w:family w:val="auto"/>
    <w:pitch w:val="default"/>
    <w:sig w:usb0="00000000" w:usb1="00000000" w:usb2="00000000" w:usb3="00000000" w:csb0="0000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7B1D">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4DB4C8">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4DB4C8">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0029B5"/>
    <w:rsid w:val="000035C5"/>
    <w:rsid w:val="0001076D"/>
    <w:rsid w:val="00025979"/>
    <w:rsid w:val="00026036"/>
    <w:rsid w:val="00027CBD"/>
    <w:rsid w:val="0003023C"/>
    <w:rsid w:val="00040D69"/>
    <w:rsid w:val="000417A2"/>
    <w:rsid w:val="000418FB"/>
    <w:rsid w:val="00042B9D"/>
    <w:rsid w:val="000509CD"/>
    <w:rsid w:val="00053FF7"/>
    <w:rsid w:val="00071DC9"/>
    <w:rsid w:val="00077683"/>
    <w:rsid w:val="00094E7E"/>
    <w:rsid w:val="000A1C74"/>
    <w:rsid w:val="000B2E26"/>
    <w:rsid w:val="000B3C91"/>
    <w:rsid w:val="000C177F"/>
    <w:rsid w:val="000D5503"/>
    <w:rsid w:val="000E09D8"/>
    <w:rsid w:val="00103888"/>
    <w:rsid w:val="001152F1"/>
    <w:rsid w:val="001842F0"/>
    <w:rsid w:val="00192EDD"/>
    <w:rsid w:val="001A4427"/>
    <w:rsid w:val="001C78BE"/>
    <w:rsid w:val="001D6038"/>
    <w:rsid w:val="001F1C6C"/>
    <w:rsid w:val="001F4F2A"/>
    <w:rsid w:val="001F50A0"/>
    <w:rsid w:val="00202A66"/>
    <w:rsid w:val="00217CD3"/>
    <w:rsid w:val="00220808"/>
    <w:rsid w:val="0022369F"/>
    <w:rsid w:val="00224341"/>
    <w:rsid w:val="0023424A"/>
    <w:rsid w:val="00241A27"/>
    <w:rsid w:val="00244F83"/>
    <w:rsid w:val="00246E6D"/>
    <w:rsid w:val="00253F87"/>
    <w:rsid w:val="00255EC1"/>
    <w:rsid w:val="002568E6"/>
    <w:rsid w:val="00260A67"/>
    <w:rsid w:val="00270EF9"/>
    <w:rsid w:val="00271B88"/>
    <w:rsid w:val="00271C52"/>
    <w:rsid w:val="00274530"/>
    <w:rsid w:val="00280018"/>
    <w:rsid w:val="002802DD"/>
    <w:rsid w:val="002913FD"/>
    <w:rsid w:val="002926DF"/>
    <w:rsid w:val="0029639F"/>
    <w:rsid w:val="002A4FC5"/>
    <w:rsid w:val="002C4AEB"/>
    <w:rsid w:val="002C62CF"/>
    <w:rsid w:val="002C79D8"/>
    <w:rsid w:val="003119F1"/>
    <w:rsid w:val="003311F9"/>
    <w:rsid w:val="0035394A"/>
    <w:rsid w:val="00375B56"/>
    <w:rsid w:val="003769BB"/>
    <w:rsid w:val="00381878"/>
    <w:rsid w:val="003A4372"/>
    <w:rsid w:val="003A5502"/>
    <w:rsid w:val="003A7870"/>
    <w:rsid w:val="003B2B87"/>
    <w:rsid w:val="003B481E"/>
    <w:rsid w:val="003B6F2F"/>
    <w:rsid w:val="003C172B"/>
    <w:rsid w:val="003D1DE5"/>
    <w:rsid w:val="003D7D0C"/>
    <w:rsid w:val="003E5AFC"/>
    <w:rsid w:val="003F0CB1"/>
    <w:rsid w:val="003F569E"/>
    <w:rsid w:val="00402CD7"/>
    <w:rsid w:val="00405ACB"/>
    <w:rsid w:val="00407A4F"/>
    <w:rsid w:val="00412992"/>
    <w:rsid w:val="00414AF1"/>
    <w:rsid w:val="004225BB"/>
    <w:rsid w:val="004364FF"/>
    <w:rsid w:val="004424C1"/>
    <w:rsid w:val="00450FF6"/>
    <w:rsid w:val="00456522"/>
    <w:rsid w:val="004729DE"/>
    <w:rsid w:val="00474D3E"/>
    <w:rsid w:val="004846BE"/>
    <w:rsid w:val="00485CC3"/>
    <w:rsid w:val="00494511"/>
    <w:rsid w:val="004A6174"/>
    <w:rsid w:val="004A63E0"/>
    <w:rsid w:val="004B492A"/>
    <w:rsid w:val="004C29BA"/>
    <w:rsid w:val="004C4C38"/>
    <w:rsid w:val="004C56AD"/>
    <w:rsid w:val="0051513A"/>
    <w:rsid w:val="00526ECF"/>
    <w:rsid w:val="00536D10"/>
    <w:rsid w:val="00541C61"/>
    <w:rsid w:val="00552F49"/>
    <w:rsid w:val="00557696"/>
    <w:rsid w:val="00561C09"/>
    <w:rsid w:val="00584F2A"/>
    <w:rsid w:val="00586865"/>
    <w:rsid w:val="005A2797"/>
    <w:rsid w:val="005B1D83"/>
    <w:rsid w:val="005C6D59"/>
    <w:rsid w:val="005D04AA"/>
    <w:rsid w:val="005D1135"/>
    <w:rsid w:val="005D4495"/>
    <w:rsid w:val="005D56B6"/>
    <w:rsid w:val="005E09D2"/>
    <w:rsid w:val="00616D6D"/>
    <w:rsid w:val="00636AC7"/>
    <w:rsid w:val="00653905"/>
    <w:rsid w:val="00666888"/>
    <w:rsid w:val="00683D9D"/>
    <w:rsid w:val="0069499F"/>
    <w:rsid w:val="00694D6C"/>
    <w:rsid w:val="006A0BDC"/>
    <w:rsid w:val="006B50D3"/>
    <w:rsid w:val="006E5B8E"/>
    <w:rsid w:val="006E7F61"/>
    <w:rsid w:val="006F0C6C"/>
    <w:rsid w:val="00722C6E"/>
    <w:rsid w:val="007314C3"/>
    <w:rsid w:val="007322A9"/>
    <w:rsid w:val="00734256"/>
    <w:rsid w:val="00740510"/>
    <w:rsid w:val="007509B4"/>
    <w:rsid w:val="00785B1F"/>
    <w:rsid w:val="007C0A07"/>
    <w:rsid w:val="007C23C0"/>
    <w:rsid w:val="007C7EEF"/>
    <w:rsid w:val="007D2577"/>
    <w:rsid w:val="007D2A24"/>
    <w:rsid w:val="007E3BFC"/>
    <w:rsid w:val="007F1E52"/>
    <w:rsid w:val="00801CA7"/>
    <w:rsid w:val="008119B8"/>
    <w:rsid w:val="00815359"/>
    <w:rsid w:val="00816E2A"/>
    <w:rsid w:val="00821982"/>
    <w:rsid w:val="00821BDB"/>
    <w:rsid w:val="0082373F"/>
    <w:rsid w:val="00835525"/>
    <w:rsid w:val="0084716B"/>
    <w:rsid w:val="00872E29"/>
    <w:rsid w:val="00881C23"/>
    <w:rsid w:val="0088256D"/>
    <w:rsid w:val="00885D29"/>
    <w:rsid w:val="00895BE2"/>
    <w:rsid w:val="008978D6"/>
    <w:rsid w:val="008A51B6"/>
    <w:rsid w:val="008B1E04"/>
    <w:rsid w:val="008B69A7"/>
    <w:rsid w:val="008C317A"/>
    <w:rsid w:val="008D69C0"/>
    <w:rsid w:val="008E36D6"/>
    <w:rsid w:val="008E4020"/>
    <w:rsid w:val="008F2AB0"/>
    <w:rsid w:val="009018B0"/>
    <w:rsid w:val="00903DAE"/>
    <w:rsid w:val="009274A8"/>
    <w:rsid w:val="00933A2A"/>
    <w:rsid w:val="00936AF1"/>
    <w:rsid w:val="00951AEE"/>
    <w:rsid w:val="00956539"/>
    <w:rsid w:val="00960947"/>
    <w:rsid w:val="009639EA"/>
    <w:rsid w:val="00982389"/>
    <w:rsid w:val="00986893"/>
    <w:rsid w:val="00986958"/>
    <w:rsid w:val="00987744"/>
    <w:rsid w:val="009A259F"/>
    <w:rsid w:val="009B6B2D"/>
    <w:rsid w:val="009D1CF3"/>
    <w:rsid w:val="009E0A91"/>
    <w:rsid w:val="009E161A"/>
    <w:rsid w:val="00A04789"/>
    <w:rsid w:val="00A10DD4"/>
    <w:rsid w:val="00A244AA"/>
    <w:rsid w:val="00A30539"/>
    <w:rsid w:val="00A3120D"/>
    <w:rsid w:val="00A32B66"/>
    <w:rsid w:val="00A44F3B"/>
    <w:rsid w:val="00A56CE0"/>
    <w:rsid w:val="00A62B11"/>
    <w:rsid w:val="00A64D1A"/>
    <w:rsid w:val="00A769D6"/>
    <w:rsid w:val="00A84515"/>
    <w:rsid w:val="00AB7A0E"/>
    <w:rsid w:val="00AC1BB8"/>
    <w:rsid w:val="00AD3CBE"/>
    <w:rsid w:val="00AD49E4"/>
    <w:rsid w:val="00AF304A"/>
    <w:rsid w:val="00B078F1"/>
    <w:rsid w:val="00B11CE2"/>
    <w:rsid w:val="00B12BD5"/>
    <w:rsid w:val="00B16C50"/>
    <w:rsid w:val="00B336CF"/>
    <w:rsid w:val="00B3489D"/>
    <w:rsid w:val="00B522B5"/>
    <w:rsid w:val="00B57215"/>
    <w:rsid w:val="00B600E4"/>
    <w:rsid w:val="00B738A5"/>
    <w:rsid w:val="00BA1FCD"/>
    <w:rsid w:val="00BB65CC"/>
    <w:rsid w:val="00BC5645"/>
    <w:rsid w:val="00BD73EF"/>
    <w:rsid w:val="00BD7723"/>
    <w:rsid w:val="00BF35E9"/>
    <w:rsid w:val="00C04EC2"/>
    <w:rsid w:val="00C05827"/>
    <w:rsid w:val="00C067E4"/>
    <w:rsid w:val="00C161F5"/>
    <w:rsid w:val="00C21ADD"/>
    <w:rsid w:val="00C252B4"/>
    <w:rsid w:val="00C27940"/>
    <w:rsid w:val="00C27E79"/>
    <w:rsid w:val="00C3050E"/>
    <w:rsid w:val="00C40F2D"/>
    <w:rsid w:val="00C51AE3"/>
    <w:rsid w:val="00C6106B"/>
    <w:rsid w:val="00C66982"/>
    <w:rsid w:val="00C71FEB"/>
    <w:rsid w:val="00C776E8"/>
    <w:rsid w:val="00C77F15"/>
    <w:rsid w:val="00C95266"/>
    <w:rsid w:val="00CA1997"/>
    <w:rsid w:val="00CA77CA"/>
    <w:rsid w:val="00CC02EF"/>
    <w:rsid w:val="00CF1989"/>
    <w:rsid w:val="00D27F18"/>
    <w:rsid w:val="00D324CD"/>
    <w:rsid w:val="00D32A7B"/>
    <w:rsid w:val="00D3347B"/>
    <w:rsid w:val="00D4083C"/>
    <w:rsid w:val="00D652E4"/>
    <w:rsid w:val="00DA3A09"/>
    <w:rsid w:val="00DA64D7"/>
    <w:rsid w:val="00DC1D16"/>
    <w:rsid w:val="00DE07BF"/>
    <w:rsid w:val="00DE1C73"/>
    <w:rsid w:val="00E03F49"/>
    <w:rsid w:val="00E10F57"/>
    <w:rsid w:val="00E167F6"/>
    <w:rsid w:val="00E224C2"/>
    <w:rsid w:val="00E2746D"/>
    <w:rsid w:val="00EC0B1B"/>
    <w:rsid w:val="00EE7A67"/>
    <w:rsid w:val="00EF0548"/>
    <w:rsid w:val="00F02C39"/>
    <w:rsid w:val="00F05724"/>
    <w:rsid w:val="00F20759"/>
    <w:rsid w:val="00F2234B"/>
    <w:rsid w:val="00F31EAD"/>
    <w:rsid w:val="00F36141"/>
    <w:rsid w:val="00F75877"/>
    <w:rsid w:val="00F870D8"/>
    <w:rsid w:val="00FA03AF"/>
    <w:rsid w:val="00FA2804"/>
    <w:rsid w:val="00FB32DE"/>
    <w:rsid w:val="00FB3CC0"/>
    <w:rsid w:val="00FB6226"/>
    <w:rsid w:val="00FB6942"/>
    <w:rsid w:val="00FB6BA0"/>
    <w:rsid w:val="00FC763C"/>
    <w:rsid w:val="00FD5A4D"/>
    <w:rsid w:val="00FE2906"/>
    <w:rsid w:val="00FE681B"/>
    <w:rsid w:val="05E95AA6"/>
    <w:rsid w:val="0C180A78"/>
    <w:rsid w:val="0CAF7D6D"/>
    <w:rsid w:val="0D276746"/>
    <w:rsid w:val="0D464D9C"/>
    <w:rsid w:val="0DD52794"/>
    <w:rsid w:val="0E956870"/>
    <w:rsid w:val="10C666A5"/>
    <w:rsid w:val="1223366A"/>
    <w:rsid w:val="143877FD"/>
    <w:rsid w:val="17C820DA"/>
    <w:rsid w:val="19E805B2"/>
    <w:rsid w:val="1FC24F0D"/>
    <w:rsid w:val="22FE234B"/>
    <w:rsid w:val="277E6F02"/>
    <w:rsid w:val="29990575"/>
    <w:rsid w:val="2AF6742D"/>
    <w:rsid w:val="2E833798"/>
    <w:rsid w:val="312A2265"/>
    <w:rsid w:val="34A44525"/>
    <w:rsid w:val="36FC0F5D"/>
    <w:rsid w:val="375773F8"/>
    <w:rsid w:val="38CC5315"/>
    <w:rsid w:val="393E32BB"/>
    <w:rsid w:val="419B2857"/>
    <w:rsid w:val="41D71DA8"/>
    <w:rsid w:val="45D249F5"/>
    <w:rsid w:val="4C6611ED"/>
    <w:rsid w:val="4DEF7A42"/>
    <w:rsid w:val="552A0475"/>
    <w:rsid w:val="578D10CB"/>
    <w:rsid w:val="5A5915AC"/>
    <w:rsid w:val="5A8A2FF8"/>
    <w:rsid w:val="6A12486A"/>
    <w:rsid w:val="6FAF27B6"/>
    <w:rsid w:val="753C4E9B"/>
    <w:rsid w:val="77CA616D"/>
    <w:rsid w:val="781113A7"/>
    <w:rsid w:val="791E6510"/>
    <w:rsid w:val="79A63A67"/>
    <w:rsid w:val="7C8D4A41"/>
    <w:rsid w:val="7C9048DB"/>
    <w:rsid w:val="7EDF5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unhideWhenUsed/>
    <w:qFormat/>
    <w:uiPriority w:val="0"/>
    <w:pPr>
      <w:ind w:firstLine="640" w:firstLineChars="200"/>
    </w:pPr>
    <w:rPr>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2"/>
    <w:basedOn w:val="3"/>
    <w:autoRedefine/>
    <w:unhideWhenUsed/>
    <w:qFormat/>
    <w:uiPriority w:val="99"/>
    <w:pPr>
      <w:ind w:firstLine="420"/>
    </w:p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1766</Words>
  <Characters>1872</Characters>
  <Lines>14</Lines>
  <Paragraphs>3</Paragraphs>
  <TotalTime>149</TotalTime>
  <ScaleCrop>false</ScaleCrop>
  <LinksUpToDate>false</LinksUpToDate>
  <CharactersWithSpaces>1928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2025-10-29T07:06:33Z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69F7A38A7BAD4E1B869E219B372F8F99_13</vt:lpwstr>
  </property>
  <property fmtid="{D5CDD505-2E9C-101B-9397-08002B2CF9AE}" pid="4" name="KSOTemplateDocerSaveRecord">
    <vt:lpwstr>eyJoZGlkIjoiNWEyODA0MGMwYTkzODZkMmRiMmNiZmI1NDc3YTNmNDIiLCJ1c2VySWQiOiI0MTkwMjIxODkifQ==</vt:lpwstr>
  </property>
</Properties>
</file>