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F5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bookmarkStart w:id="0" w:name="_GoBack"/>
      <w:bookmarkEnd w:id="0"/>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附件2</w:t>
      </w:r>
    </w:p>
    <w:p w14:paraId="733079E9">
      <w:pPr>
        <w:jc w:val="center"/>
        <w:rPr>
          <w:rFonts w:ascii="Times New Roman" w:hAnsi="Times New Roman" w:cs="Times New Roman"/>
          <w:b/>
          <w:sz w:val="36"/>
          <w:szCs w:val="36"/>
        </w:rPr>
      </w:pPr>
    </w:p>
    <w:p w14:paraId="60869147">
      <w:pPr>
        <w:jc w:val="center"/>
        <w:rPr>
          <w:rFonts w:ascii="Times New Roman" w:hAnsi="Times New Roman" w:cs="Times New Roman"/>
          <w:b/>
          <w:sz w:val="36"/>
          <w:szCs w:val="36"/>
        </w:rPr>
      </w:pPr>
    </w:p>
    <w:p w14:paraId="3A8C020C">
      <w:pPr>
        <w:jc w:val="center"/>
        <w:rPr>
          <w:rFonts w:ascii="Times New Roman" w:hAnsi="Times New Roman" w:cs="Times New Roman"/>
          <w:b/>
          <w:sz w:val="36"/>
          <w:szCs w:val="36"/>
        </w:rPr>
      </w:pPr>
    </w:p>
    <w:p w14:paraId="30B645F5">
      <w:pPr>
        <w:jc w:val="center"/>
        <w:rPr>
          <w:rFonts w:ascii="Times New Roman" w:hAnsi="Times New Roman" w:cs="Times New Roman"/>
          <w:b/>
          <w:bCs w:val="0"/>
          <w:sz w:val="36"/>
          <w:szCs w:val="36"/>
        </w:rPr>
      </w:pPr>
    </w:p>
    <w:p w14:paraId="7955CA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val="0"/>
          <w:sz w:val="48"/>
          <w:szCs w:val="48"/>
          <w:lang w:eastAsia="zh-CN"/>
        </w:rPr>
      </w:pPr>
      <w:r>
        <w:rPr>
          <w:rFonts w:hint="eastAsia" w:ascii="方正小标宋简体" w:hAnsi="方正小标宋简体" w:eastAsia="方正小标宋简体" w:cs="方正小标宋简体"/>
          <w:b/>
          <w:bCs w:val="0"/>
          <w:sz w:val="48"/>
          <w:szCs w:val="48"/>
        </w:rPr>
        <w:t>2024年度</w:t>
      </w:r>
      <w:r>
        <w:rPr>
          <w:rFonts w:hint="eastAsia" w:ascii="方正小标宋简体" w:hAnsi="方正小标宋简体" w:eastAsia="方正小标宋简体" w:cs="方正小标宋简体"/>
          <w:b/>
          <w:bCs w:val="0"/>
          <w:sz w:val="48"/>
          <w:szCs w:val="48"/>
          <w:lang w:eastAsia="zh-CN"/>
        </w:rPr>
        <w:t>沅陵县发展和改革局</w:t>
      </w:r>
    </w:p>
    <w:p w14:paraId="0A2E5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b/>
          <w:bCs w:val="0"/>
          <w:sz w:val="48"/>
          <w:szCs w:val="48"/>
        </w:rPr>
      </w:pPr>
      <w:r>
        <w:rPr>
          <w:rFonts w:hint="eastAsia" w:ascii="方正小标宋简体" w:hAnsi="方正小标宋简体" w:eastAsia="方正小标宋简体" w:cs="方正小标宋简体"/>
          <w:b/>
          <w:bCs w:val="0"/>
          <w:sz w:val="48"/>
          <w:szCs w:val="48"/>
        </w:rPr>
        <w:t>整体支出绩效自评报告</w:t>
      </w:r>
    </w:p>
    <w:p w14:paraId="4F413C2F">
      <w:pPr>
        <w:jc w:val="center"/>
        <w:rPr>
          <w:rFonts w:ascii="Times New Roman" w:hAnsi="Times New Roman" w:eastAsia="仿宋_GB2312" w:cs="Times New Roman"/>
          <w:b/>
          <w:sz w:val="32"/>
          <w:szCs w:val="32"/>
        </w:rPr>
      </w:pPr>
    </w:p>
    <w:p w14:paraId="1F795CF9">
      <w:pPr>
        <w:jc w:val="center"/>
        <w:rPr>
          <w:rFonts w:ascii="Times New Roman" w:hAnsi="Times New Roman" w:eastAsia="仿宋_GB2312" w:cs="Times New Roman"/>
          <w:b/>
          <w:sz w:val="32"/>
          <w:szCs w:val="32"/>
        </w:rPr>
      </w:pPr>
    </w:p>
    <w:p w14:paraId="7A58B824">
      <w:pPr>
        <w:jc w:val="center"/>
        <w:rPr>
          <w:rFonts w:ascii="Times New Roman" w:hAnsi="Times New Roman" w:eastAsia="仿宋_GB2312" w:cs="Times New Roman"/>
          <w:b/>
          <w:sz w:val="32"/>
          <w:szCs w:val="32"/>
        </w:rPr>
      </w:pPr>
    </w:p>
    <w:p w14:paraId="11E120C6">
      <w:pPr>
        <w:rPr>
          <w:rFonts w:ascii="Times New Roman" w:hAnsi="Times New Roman" w:eastAsia="仿宋_GB2312" w:cs="Times New Roman"/>
          <w:sz w:val="32"/>
          <w:szCs w:val="32"/>
        </w:rPr>
      </w:pPr>
    </w:p>
    <w:p w14:paraId="208FD0BD">
      <w:pPr>
        <w:rPr>
          <w:rFonts w:ascii="Times New Roman" w:hAnsi="Times New Roman" w:eastAsia="仿宋_GB2312" w:cs="Times New Roman"/>
          <w:sz w:val="32"/>
          <w:szCs w:val="32"/>
        </w:rPr>
      </w:pPr>
    </w:p>
    <w:p w14:paraId="5F902D98">
      <w:pPr>
        <w:rPr>
          <w:rFonts w:ascii="Times New Roman" w:hAnsi="Times New Roman" w:eastAsia="仿宋_GB2312" w:cs="Times New Roman"/>
          <w:sz w:val="32"/>
          <w:szCs w:val="32"/>
        </w:rPr>
      </w:pPr>
    </w:p>
    <w:p w14:paraId="199464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单位名称：</w:t>
      </w:r>
      <w:r>
        <w:rPr>
          <w:rFonts w:hint="eastAsia" w:ascii="Times New Roman" w:hAnsi="Times New Roman" w:cs="Times New Roman"/>
          <w:sz w:val="32"/>
          <w:szCs w:val="32"/>
          <w:lang w:eastAsia="zh-CN"/>
        </w:rPr>
        <w:t>沅陵县发展和改革局</w:t>
      </w:r>
    </w:p>
    <w:p w14:paraId="175A7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2151F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600F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 xml:space="preserve"> 日</w:t>
      </w:r>
    </w:p>
    <w:p w14:paraId="4BA2D777">
      <w:pPr>
        <w:jc w:val="center"/>
        <w:rPr>
          <w:rFonts w:ascii="Times New Roman" w:hAnsi="Times New Roman" w:eastAsia="仿宋_GB2312" w:cs="Times New Roman"/>
          <w:sz w:val="32"/>
          <w:szCs w:val="32"/>
        </w:rPr>
      </w:pPr>
    </w:p>
    <w:p w14:paraId="662EAE41">
      <w:pPr>
        <w:spacing w:line="580" w:lineRule="exact"/>
        <w:jc w:val="both"/>
        <w:rPr>
          <w:rFonts w:hint="eastAsia" w:ascii="Times New Roman" w:hAnsi="Times New Roman" w:cs="Times New Roman" w:eastAsiaTheme="majorEastAsia"/>
          <w:b/>
          <w:sz w:val="44"/>
          <w:szCs w:val="44"/>
        </w:rPr>
      </w:pPr>
    </w:p>
    <w:p w14:paraId="2C30AA6D">
      <w:pPr>
        <w:spacing w:line="580" w:lineRule="exact"/>
        <w:jc w:val="center"/>
        <w:rPr>
          <w:rFonts w:ascii="Times New Roman" w:hAnsi="Times New Roman" w:cs="Times New Roman" w:eastAsiaTheme="majorEastAsia"/>
          <w:b/>
          <w:sz w:val="44"/>
          <w:szCs w:val="44"/>
        </w:rPr>
        <w:sectPr>
          <w:footerReference r:id="rId5" w:type="default"/>
          <w:pgSz w:w="11906" w:h="16838"/>
          <w:pgMar w:top="2098" w:right="1800" w:bottom="1984" w:left="1587" w:header="851" w:footer="992" w:gutter="0"/>
          <w:cols w:space="425" w:num="1"/>
          <w:docGrid w:type="lines" w:linePitch="312" w:charSpace="0"/>
        </w:sectPr>
      </w:pPr>
    </w:p>
    <w:p w14:paraId="707C2F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2024年度沅陵县发展和改革局</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部门整体支出绩效自评报告</w:t>
      </w:r>
    </w:p>
    <w:p w14:paraId="577067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6B161BA6">
      <w:pPr>
        <w:pStyle w:val="3"/>
        <w:bidi w:val="0"/>
        <w:rPr>
          <w:rFonts w:hint="eastAsia"/>
        </w:rPr>
      </w:pPr>
      <w:r>
        <w:rPr>
          <w:rFonts w:hint="eastAsia"/>
        </w:rPr>
        <w:t>一、部门、单位基本情况</w:t>
      </w:r>
    </w:p>
    <w:p w14:paraId="340198B2">
      <w:pPr>
        <w:pStyle w:val="4"/>
        <w:bidi w:val="0"/>
        <w:rPr>
          <w:rFonts w:hint="default"/>
        </w:rPr>
      </w:pPr>
      <w:r>
        <w:rPr>
          <w:rFonts w:hint="default"/>
        </w:rPr>
        <w:t>（一）机构设置情况</w:t>
      </w:r>
    </w:p>
    <w:p w14:paraId="52B0D9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cs="仿宋_GB2312"/>
          <w:b w:val="0"/>
          <w:bCs w:val="0"/>
          <w:color w:val="auto"/>
          <w:sz w:val="32"/>
          <w:szCs w:val="32"/>
          <w:lang w:val="en-US" w:eastAsia="zh-CN"/>
        </w:rPr>
        <w:t>沅陵县发展和改革局（以下简称“发改局”或“我局”）是县政府组成部门，</w:t>
      </w:r>
      <w:r>
        <w:rPr>
          <w:rFonts w:hint="eastAsia" w:ascii="仿宋_GB2312" w:hAnsi="仿宋_GB2312" w:eastAsia="仿宋_GB2312" w:cs="仿宋_GB2312"/>
          <w:b w:val="0"/>
          <w:bCs w:val="0"/>
          <w:color w:val="auto"/>
          <w:sz w:val="32"/>
          <w:szCs w:val="32"/>
          <w:lang w:val="en-US" w:eastAsia="zh-CN"/>
        </w:rPr>
        <w:t>内设机构</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，分别为</w:t>
      </w:r>
      <w:r>
        <w:rPr>
          <w:rFonts w:hint="eastAsia" w:ascii="仿宋_GB2312" w:hAnsi="仿宋_GB2312" w:eastAsia="仿宋_GB2312" w:cs="仿宋_GB2312"/>
          <w:color w:val="auto"/>
          <w:sz w:val="32"/>
          <w:szCs w:val="32"/>
          <w:lang w:val="en-US" w:eastAsia="zh-CN"/>
        </w:rPr>
        <w:t>：是办公室、行政审批服务股、国民经济综合规划与服务业股、法规与经济体制综合改革股(县优化经济发展环境领导小组办公室)、固定资产投资和重点项目建设管理股、财政金融和经贸外资股、农村经济和基础产业股、工业和高技术产业股、社会发展股、地区经济和环境资源保护股、湘西地区开发和能源管理股、招标投标管理办公室(对外为沅陵县招标投标管理办公室，加挂县重大项目稽察特派员办公室牌子)、国民经济动员办公室(加挂县国防动员委员会装备办公室牌子)、行政事业性收费管理股、商品和服务价格管理股</w:t>
      </w:r>
      <w:r>
        <w:rPr>
          <w:rFonts w:hint="eastAsia" w:ascii="仿宋_GB2312" w:hAnsi="仿宋_GB2312" w:eastAsia="仿宋_GB2312" w:cs="仿宋_GB2312"/>
          <w:sz w:val="32"/>
          <w:szCs w:val="32"/>
          <w:lang w:eastAsia="zh-CN"/>
        </w:rPr>
        <w:t>。</w:t>
      </w:r>
    </w:p>
    <w:p w14:paraId="37617639">
      <w:pPr>
        <w:pStyle w:val="4"/>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207CB3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发改局</w:t>
      </w:r>
      <w:r>
        <w:rPr>
          <w:rFonts w:hint="eastAsia" w:ascii="仿宋_GB2312" w:hAnsi="仿宋_GB2312" w:eastAsia="仿宋_GB2312" w:cs="仿宋_GB2312"/>
          <w:b w:val="0"/>
          <w:bCs w:val="0"/>
          <w:color w:val="auto"/>
          <w:sz w:val="32"/>
          <w:szCs w:val="32"/>
          <w:lang w:val="en-US" w:eastAsia="zh-CN"/>
        </w:rPr>
        <w:t>现实有事业编人员</w:t>
      </w:r>
      <w:r>
        <w:rPr>
          <w:rFonts w:hint="eastAsia" w:ascii="仿宋_GB2312" w:hAnsi="仿宋_GB2312" w:cs="仿宋_GB2312"/>
          <w:b w:val="0"/>
          <w:bCs w:val="0"/>
          <w:color w:val="auto"/>
          <w:sz w:val="32"/>
          <w:szCs w:val="32"/>
          <w:lang w:val="en-US" w:eastAsia="zh-CN"/>
        </w:rPr>
        <w:t>69</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cs="仿宋_GB2312"/>
          <w:b w:val="0"/>
          <w:bCs w:val="0"/>
          <w:color w:val="auto"/>
          <w:sz w:val="32"/>
          <w:szCs w:val="32"/>
          <w:lang w:val="en-US" w:eastAsia="zh-CN"/>
        </w:rPr>
        <w:t>其中行政编制人员22人，事业编制人员23人，其他人员24人。</w:t>
      </w:r>
      <w:r>
        <w:rPr>
          <w:rFonts w:hint="eastAsia" w:ascii="仿宋_GB2312" w:hAnsi="仿宋_GB2312" w:eastAsia="仿宋_GB2312" w:cs="仿宋_GB2312"/>
          <w:b w:val="0"/>
          <w:bCs w:val="0"/>
          <w:color w:val="auto"/>
          <w:sz w:val="32"/>
          <w:szCs w:val="32"/>
          <w:lang w:val="en-US" w:eastAsia="zh-CN"/>
        </w:rPr>
        <w:t>2024年12月31日，在职人员</w:t>
      </w:r>
      <w:r>
        <w:rPr>
          <w:rFonts w:hint="eastAsia" w:ascii="仿宋_GB2312" w:hAnsi="仿宋_GB2312" w:cs="仿宋_GB2312"/>
          <w:b w:val="0"/>
          <w:bCs w:val="0"/>
          <w:color w:val="auto"/>
          <w:sz w:val="32"/>
          <w:szCs w:val="32"/>
          <w:lang w:val="en-US" w:eastAsia="zh-CN"/>
        </w:rPr>
        <w:t>69</w:t>
      </w:r>
      <w:r>
        <w:rPr>
          <w:rFonts w:hint="eastAsia" w:ascii="仿宋_GB2312" w:hAnsi="仿宋_GB2312" w:eastAsia="仿宋_GB2312" w:cs="仿宋_GB2312"/>
          <w:b w:val="0"/>
          <w:bCs w:val="0"/>
          <w:color w:val="auto"/>
          <w:sz w:val="32"/>
          <w:szCs w:val="32"/>
          <w:lang w:val="en-US" w:eastAsia="zh-CN"/>
        </w:rPr>
        <w:t>人，离退休人员0人。</w:t>
      </w:r>
    </w:p>
    <w:p w14:paraId="019B1819">
      <w:pPr>
        <w:pStyle w:val="4"/>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7E2F6824">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保持定力抓调度保进度。要继续坚持和运用好现有的调度机制，按照“月初要计划安排、月中要督查督办、月底要结账收账”要求，对GDP基础支撑薄弱指标要一项一项对标对表，查漏补缺，加强环比分析，逐一制定保障措施，牢牢把握经济工作主动权，持续保持经济稳定增长。科学指导责任单位搞好项目申报、入库，做大做实项目库、优化投资结构，做到应报尽报、应统尽统，坚守底线、不碰红线、依法统计、安全统计，按照时序进度要求完成投资工作任务。</w:t>
      </w:r>
    </w:p>
    <w:p w14:paraId="02EBD8D1">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2、聚焦聚力抓进度促发展。一是高度关注“阔步新征程、奋力闯创干、喜迎二十大”活动、真抓实干督查激励事项，着力补短板，做好基础性工作，强化与省、市发改部门对接和争取，确保工作进入全省、全市先进行列。二是加大对省市重点项目、集中开工项目建设情况的督导力度，加快项目建设进度，推动落地项目加快建设、建成项目加快达产。三是加大对中央预算内投资、政府专项债券项目的督导力度，促进未开工项目尽早开工，督促已开工项目加快进度，力争达到上级考核要求。</w:t>
      </w:r>
    </w:p>
    <w:p w14:paraId="4F2CF6E6">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3、全情全力抓招商促开放。积极开展招商引资工作，坚持走出去、请进来相结合，采取产业链招商、以商招商、亲情招商等方式，充分利用“湘商大会”“沪洽周”“港洽会”等大型招商平台，深入开展“迎老乡、回故乡、建家乡”活动，力争完成本局招商引资年度任务。</w:t>
      </w:r>
    </w:p>
    <w:p w14:paraId="6448D294">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4、持续用力抓发展优环境。一是进一步转变政府职能，持续优化营商环境。深化“放管服”改革，落细落实优化营商环境各项措施。二是坚决落实各类惠企政策，继续执行减税降费政策，为企业发展纾困解难。三是深入开展“送政策、解难题、优服务”行动。坚持干部联系走访服务企业制度，帮助企业化解问题，提供政务服务，促进企业发展。</w:t>
      </w:r>
    </w:p>
    <w:p w14:paraId="27954700">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5、继续加大项目申报力度。一是加大向上汇报力度，积极争取更多的国家、省政策、资金支持。重点抓好已经上报项目的跟踪衔接和工作对接，确保上报项目拟申请中央和省级投资的落实。二是密切关注、及时掌握国家和省出台的投资政策导向，抓好 2024 年中央、省预算内投资项目及地方政府专项债券项目储备、申报工作。把符合投资政策、前景好、改善民生和基础设施的项目，有针对性地进行谋划、包装，超前做好项目前期准备工作，落实项目相关配套条件，为项目顺利落地提供优势。三是加强已下达投资计划项目资金的管理，加强与相关项目建设单位的沟通、联系，督促项目建设进度，依据工程形象进度把好资金拨付关，按期完成项目建设任务，尽快竣工验收。</w:t>
      </w:r>
    </w:p>
    <w:p w14:paraId="475FF357">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6、保障粮安能安价格稳定。一是继续抓好粮食储备工作，加强日常监管，保质保量，确保粮食安全不出问题。二是继续抓好能源领域监管，确保安全无事故。三是继续抓好事关群众生活的菜篮子价格监测，加强水、电、气、公交车、出租车、物业等价格调控，确保市场平稳。</w:t>
      </w:r>
    </w:p>
    <w:p w14:paraId="0EB94BF2">
      <w:pPr>
        <w:pStyle w:val="4"/>
        <w:bidi w:val="0"/>
        <w:rPr>
          <w:rFonts w:hint="default"/>
          <w:lang w:val="en-US" w:eastAsia="zh-CN"/>
        </w:rPr>
      </w:pPr>
      <w:r>
        <w:rPr>
          <w:rFonts w:hint="eastAsia"/>
          <w:lang w:val="en-US" w:eastAsia="zh-CN"/>
        </w:rPr>
        <w:t>（四）</w:t>
      </w:r>
      <w:r>
        <w:rPr>
          <w:rFonts w:hint="default"/>
          <w:lang w:val="en-US" w:eastAsia="zh-CN"/>
        </w:rPr>
        <w:t>绩效目标设定情况</w:t>
      </w:r>
    </w:p>
    <w:p w14:paraId="0D381639">
      <w:pPr>
        <w:bidi w:val="0"/>
        <w:rPr>
          <w:rFonts w:hint="eastAsia"/>
          <w:lang w:val="en-US" w:eastAsia="zh-CN"/>
        </w:rPr>
      </w:pPr>
      <w:r>
        <w:rPr>
          <w:rFonts w:hint="eastAsia"/>
          <w:lang w:val="en-US" w:eastAsia="zh-CN"/>
        </w:rPr>
        <w:t>目标1：科学指导调度谋发展，持续保持经济稳定增长；</w:t>
      </w:r>
    </w:p>
    <w:p w14:paraId="09A06747">
      <w:pPr>
        <w:bidi w:val="0"/>
        <w:rPr>
          <w:rFonts w:hint="eastAsia"/>
          <w:lang w:val="en-US" w:eastAsia="zh-CN"/>
        </w:rPr>
      </w:pPr>
      <w:r>
        <w:rPr>
          <w:rFonts w:hint="eastAsia"/>
          <w:lang w:val="en-US" w:eastAsia="zh-CN"/>
        </w:rPr>
        <w:t>目标2：坚持问题导向求破局，为县域经济发展破局；</w:t>
      </w:r>
    </w:p>
    <w:p w14:paraId="1C36D020">
      <w:pPr>
        <w:bidi w:val="0"/>
        <w:rPr>
          <w:rFonts w:hint="eastAsia"/>
          <w:lang w:val="en-US" w:eastAsia="zh-CN"/>
        </w:rPr>
      </w:pPr>
      <w:r>
        <w:rPr>
          <w:rFonts w:hint="eastAsia"/>
          <w:lang w:val="en-US" w:eastAsia="zh-CN"/>
        </w:rPr>
        <w:t>目标3：突破要素保障，确保项目建设所需；</w:t>
      </w:r>
    </w:p>
    <w:p w14:paraId="0D4F1E92">
      <w:pPr>
        <w:bidi w:val="0"/>
        <w:rPr>
          <w:rFonts w:hint="eastAsia"/>
          <w:lang w:val="en-US" w:eastAsia="zh-CN"/>
        </w:rPr>
      </w:pPr>
      <w:r>
        <w:rPr>
          <w:rFonts w:hint="eastAsia"/>
          <w:lang w:val="en-US" w:eastAsia="zh-CN"/>
        </w:rPr>
        <w:t>目标4：抓好粮食储备工作，加强日常监管，保质保量，确保粮食安全；</w:t>
      </w:r>
    </w:p>
    <w:p w14:paraId="18C32200">
      <w:pPr>
        <w:bidi w:val="0"/>
        <w:rPr>
          <w:rFonts w:hint="default"/>
          <w:lang w:val="en-US" w:eastAsia="zh-CN"/>
        </w:rPr>
      </w:pPr>
      <w:r>
        <w:rPr>
          <w:rFonts w:hint="eastAsia"/>
          <w:lang w:val="en-US" w:eastAsia="zh-CN"/>
        </w:rPr>
        <w:t>目标5：抓好能源领域监管，确保安全无事故。</w:t>
      </w:r>
    </w:p>
    <w:p w14:paraId="75F6E348">
      <w:pPr>
        <w:pStyle w:val="3"/>
        <w:bidi w:val="0"/>
        <w:rPr>
          <w:rFonts w:hint="eastAsia"/>
          <w:lang w:val="en-US" w:eastAsia="zh-CN"/>
        </w:rPr>
      </w:pPr>
      <w:r>
        <w:rPr>
          <w:rFonts w:hint="eastAsia"/>
          <w:lang w:val="en-US" w:eastAsia="zh-CN"/>
        </w:rPr>
        <w:t>二、部门整体支出管理及使用情况</w:t>
      </w:r>
    </w:p>
    <w:p w14:paraId="553DE9D7">
      <w:pPr>
        <w:pStyle w:val="4"/>
        <w:bidi w:val="0"/>
      </w:pPr>
      <w:r>
        <w:rPr>
          <w:rFonts w:hint="eastAsia"/>
        </w:rPr>
        <w:t>（一）预算执行、使用、管理总体情况</w:t>
      </w:r>
    </w:p>
    <w:p w14:paraId="4322D27F">
      <w:pPr>
        <w:bidi w:val="0"/>
        <w:rPr>
          <w:rFonts w:hint="eastAsia"/>
          <w:lang w:val="en-US" w:eastAsia="zh-CN"/>
        </w:rPr>
      </w:pPr>
      <w:r>
        <w:rPr>
          <w:rFonts w:hint="eastAsia"/>
          <w:lang w:val="en-US" w:eastAsia="zh-CN"/>
        </w:rPr>
        <w:t>根据《会计法》、《预算法》、《行政单位财务规则》等法律和财政部及县财政局有关财务规章的规定，先后制订了《沅陵县发展和改革局财务管理制度》《沅陵县发展和改革局内部控制制度》《沅陵县发展和改革局预算绩效管理工作职责》，《沅陵县发展和改革局三公经费管理规定》明确了经费审批权限及程序，经费预算管理、财务经费管理、资产购置与处置、财务监督等。开展公用经费使用监督和绩效评估，进一步落实厉行节约的各项规定，确保“三公经费”使用合理合规等。上述制度规定基本执行到位。</w:t>
      </w:r>
    </w:p>
    <w:p w14:paraId="6C6F2C78">
      <w:pPr>
        <w:bidi w:val="0"/>
        <w:rPr>
          <w:rFonts w:hint="eastAsia"/>
          <w:lang w:val="en-US" w:eastAsia="zh-CN"/>
        </w:rPr>
      </w:pPr>
      <w:r>
        <w:rPr>
          <w:rFonts w:hint="eastAsia"/>
          <w:lang w:val="en-US" w:eastAsia="zh-CN"/>
        </w:rPr>
        <w:t>基本支出用于为保障各部门、机构正常运转、完成日常工作任务而发生的支出，包括人员经费和公用经费。</w:t>
      </w:r>
    </w:p>
    <w:p w14:paraId="3EDC297F">
      <w:pPr>
        <w:bidi w:val="0"/>
        <w:rPr>
          <w:rFonts w:hint="eastAsia"/>
          <w:lang w:val="en-US" w:eastAsia="zh-CN"/>
        </w:rPr>
      </w:pPr>
      <w:r>
        <w:rPr>
          <w:rFonts w:hint="eastAsia"/>
          <w:lang w:val="en-US" w:eastAsia="zh-CN"/>
        </w:rPr>
        <w:t>我单位预算收入来源为一般公共预算财政拨款收入，年初预算收入1272.74万元，全年预算收入2987.08万元，决算收入为2987.08万元。</w:t>
      </w:r>
    </w:p>
    <w:p w14:paraId="38952841">
      <w:pPr>
        <w:bidi w:val="0"/>
        <w:rPr>
          <w:rFonts w:hint="eastAsia"/>
          <w:lang w:val="en-US" w:eastAsia="zh-CN"/>
        </w:rPr>
      </w:pPr>
      <w:r>
        <w:rPr>
          <w:rFonts w:hint="default"/>
          <w:lang w:val="en-US" w:eastAsia="zh-CN"/>
        </w:rPr>
        <w:t>按功能分类</w:t>
      </w:r>
      <w:r>
        <w:rPr>
          <w:rFonts w:hint="eastAsia"/>
          <w:lang w:val="en-US" w:eastAsia="zh-CN"/>
        </w:rPr>
        <w:t>分，一般公共服务支出年初预算数952.44万元，全年预算数2509.77万元，决算数2509.77万元。社会保障和就业支出年初预算数0万元，全年预算数96.01万元，决算数96.01万元。粮油物资储备支出年初预算数320.3万元，全年预算数381.3万元，决算数381.3万元。</w:t>
      </w:r>
    </w:p>
    <w:p w14:paraId="1327F409">
      <w:pPr>
        <w:bidi w:val="0"/>
        <w:rPr>
          <w:rFonts w:hint="eastAsia"/>
          <w:lang w:val="en-US" w:eastAsia="zh-CN"/>
        </w:rPr>
      </w:pPr>
      <w:r>
        <w:rPr>
          <w:rFonts w:hint="eastAsia"/>
          <w:lang w:val="en-US" w:eastAsia="zh-CN"/>
        </w:rPr>
        <w:t>按支出性质和经济分类分，基本支出年初预算数762.44万元，全年预算数790.71万元，决算数790.71万元；项目支出年初预算数510.3万元，全年预算数2196.37万元，决算数2196.37万元。</w:t>
      </w:r>
    </w:p>
    <w:p w14:paraId="5788E496">
      <w:pPr>
        <w:bidi w:val="0"/>
        <w:rPr>
          <w:rFonts w:hint="eastAsia"/>
          <w:lang w:val="en-US" w:eastAsia="zh-CN"/>
        </w:rPr>
      </w:pPr>
      <w:r>
        <w:t>我单位严格遵循《中华人民共和国预算法》及专项资金管理规定</w:t>
      </w:r>
      <w:r>
        <w:rPr>
          <w:rFonts w:hint="eastAsia"/>
          <w:lang w:val="en-US" w:eastAsia="zh-CN"/>
        </w:rPr>
        <w:t>和既定预算用途，</w:t>
      </w:r>
      <w:r>
        <w:t>执行指标资金的支出，</w:t>
      </w:r>
      <w:r>
        <w:rPr>
          <w:rFonts w:hint="eastAsia"/>
          <w:lang w:val="en-US" w:eastAsia="zh-CN"/>
        </w:rPr>
        <w:t>切实做到了“无预算不执行”。并按照财务制度，</w:t>
      </w:r>
      <w:r>
        <w:t>明确支出标准和范围，</w:t>
      </w:r>
      <w:r>
        <w:rPr>
          <w:rFonts w:hint="eastAsia"/>
          <w:lang w:val="en-US" w:eastAsia="zh-CN"/>
        </w:rPr>
        <w:t>相关审批程序完整，</w:t>
      </w:r>
      <w:r>
        <w:t>确保</w:t>
      </w:r>
      <w:r>
        <w:rPr>
          <w:rFonts w:hint="eastAsia"/>
          <w:lang w:val="en-US" w:eastAsia="zh-CN"/>
        </w:rPr>
        <w:t>财政</w:t>
      </w:r>
      <w:r>
        <w:t>资金使用效益最大化。</w:t>
      </w:r>
    </w:p>
    <w:p w14:paraId="03452F26">
      <w:pPr>
        <w:pStyle w:val="4"/>
        <w:bidi w:val="0"/>
        <w:rPr>
          <w:rFonts w:hint="eastAsia"/>
        </w:rPr>
      </w:pPr>
      <w:r>
        <w:rPr>
          <w:rFonts w:hint="eastAsia"/>
        </w:rPr>
        <w:t>（二）部门预算执行情况</w:t>
      </w:r>
    </w:p>
    <w:p w14:paraId="3F29E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1.基本支出情况</w:t>
      </w:r>
    </w:p>
    <w:p w14:paraId="36E83B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2024年全年基本支出</w:t>
      </w:r>
      <w:r>
        <w:rPr>
          <w:rFonts w:hint="eastAsia"/>
          <w:lang w:val="en-US" w:eastAsia="zh-CN"/>
        </w:rPr>
        <w:t>790.71</w:t>
      </w:r>
      <w:r>
        <w:rPr>
          <w:rFonts w:hint="eastAsia" w:ascii="仿宋_GB2312" w:hAnsi="仿宋_GB2312" w:eastAsia="仿宋_GB2312" w:cs="仿宋_GB2312"/>
          <w:b w:val="0"/>
          <w:bCs w:val="0"/>
          <w:color w:val="auto"/>
          <w:sz w:val="32"/>
          <w:szCs w:val="32"/>
          <w:lang w:val="en-US" w:eastAsia="zh-CN"/>
        </w:rPr>
        <w:t>万元，其中：工资福利支出</w:t>
      </w:r>
      <w:r>
        <w:rPr>
          <w:rFonts w:hint="eastAsia" w:ascii="仿宋_GB2312" w:hAnsi="仿宋_GB2312" w:cs="仿宋_GB2312"/>
          <w:b w:val="0"/>
          <w:bCs w:val="0"/>
          <w:color w:val="auto"/>
          <w:sz w:val="32"/>
          <w:szCs w:val="32"/>
          <w:lang w:val="en-US" w:eastAsia="zh-CN"/>
        </w:rPr>
        <w:t>673.69</w:t>
      </w:r>
      <w:r>
        <w:rPr>
          <w:rFonts w:hint="eastAsia" w:ascii="仿宋_GB2312" w:hAnsi="仿宋_GB2312" w:eastAsia="仿宋_GB2312" w:cs="仿宋_GB2312"/>
          <w:b w:val="0"/>
          <w:bCs w:val="0"/>
          <w:color w:val="auto"/>
          <w:sz w:val="32"/>
          <w:szCs w:val="32"/>
          <w:lang w:val="en-US" w:eastAsia="zh-CN"/>
        </w:rPr>
        <w:t>万元、商品和服务支出</w:t>
      </w:r>
      <w:r>
        <w:rPr>
          <w:rFonts w:hint="eastAsia" w:ascii="仿宋_GB2312" w:hAnsi="仿宋_GB2312" w:cs="仿宋_GB2312"/>
          <w:b w:val="0"/>
          <w:bCs w:val="0"/>
          <w:color w:val="auto"/>
          <w:sz w:val="32"/>
          <w:szCs w:val="32"/>
          <w:lang w:val="en-US" w:eastAsia="zh-CN"/>
        </w:rPr>
        <w:t>85.42</w:t>
      </w:r>
      <w:r>
        <w:rPr>
          <w:rFonts w:hint="eastAsia" w:ascii="仿宋_GB2312" w:hAnsi="仿宋_GB2312" w:eastAsia="仿宋_GB2312" w:cs="仿宋_GB2312"/>
          <w:b w:val="0"/>
          <w:bCs w:val="0"/>
          <w:color w:val="auto"/>
          <w:sz w:val="32"/>
          <w:szCs w:val="32"/>
          <w:lang w:val="en-US" w:eastAsia="zh-CN"/>
        </w:rPr>
        <w:t>万元、对个人和家庭的补助</w:t>
      </w:r>
      <w:r>
        <w:rPr>
          <w:rFonts w:hint="eastAsia" w:ascii="仿宋_GB2312" w:hAnsi="仿宋_GB2312" w:cs="仿宋_GB2312"/>
          <w:b w:val="0"/>
          <w:bCs w:val="0"/>
          <w:color w:val="auto"/>
          <w:sz w:val="32"/>
          <w:szCs w:val="32"/>
          <w:lang w:val="en-US" w:eastAsia="zh-CN"/>
        </w:rPr>
        <w:t>31.59</w:t>
      </w:r>
      <w:r>
        <w:rPr>
          <w:rFonts w:hint="eastAsia" w:ascii="仿宋_GB2312" w:hAnsi="仿宋_GB2312" w:eastAsia="仿宋_GB2312" w:cs="仿宋_GB2312"/>
          <w:b w:val="0"/>
          <w:bCs w:val="0"/>
          <w:color w:val="auto"/>
          <w:sz w:val="32"/>
          <w:szCs w:val="32"/>
          <w:lang w:val="en-US" w:eastAsia="zh-CN"/>
        </w:rPr>
        <w:t>万元、债务利息及费用支出0万元、其他支出0万元。</w:t>
      </w:r>
    </w:p>
    <w:p w14:paraId="1B786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2.项目支出情况</w:t>
      </w:r>
    </w:p>
    <w:p w14:paraId="01EF32BC">
      <w:pPr>
        <w:bidi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2024年项目支出年初预算数</w:t>
      </w:r>
      <w:r>
        <w:rPr>
          <w:rFonts w:hint="eastAsia"/>
          <w:lang w:val="en-US" w:eastAsia="zh-CN"/>
        </w:rPr>
        <w:t>年初预算数510.3万元，全年预算数2196.37万元，决算数2196.37万元。发改局一般行政管理事务1697.67万元、发改局社会事业发展规划21.39万元、发改局死亡抚恤96.01万元、发改局储备粮油补贴361.30万元、发改局储备粮（油）库建设20.00万元</w:t>
      </w:r>
      <w:r>
        <w:rPr>
          <w:rFonts w:hint="eastAsia" w:ascii="仿宋_GB2312" w:hAnsi="仿宋_GB2312" w:eastAsia="仿宋_GB2312" w:cs="仿宋_GB2312"/>
          <w:b w:val="0"/>
          <w:bCs w:val="0"/>
          <w:color w:val="auto"/>
          <w:sz w:val="32"/>
          <w:szCs w:val="32"/>
          <w:lang w:val="en-US" w:eastAsia="zh-CN"/>
        </w:rPr>
        <w:t>。</w:t>
      </w:r>
    </w:p>
    <w:p w14:paraId="6B9DB3C3">
      <w:pPr>
        <w:pStyle w:val="4"/>
        <w:bidi w:val="0"/>
        <w:rPr>
          <w:rFonts w:hint="eastAsia"/>
          <w:lang w:val="en-US" w:eastAsia="zh-CN"/>
        </w:rPr>
      </w:pPr>
      <w:r>
        <w:rPr>
          <w:rFonts w:hint="eastAsia"/>
          <w:lang w:val="en-US" w:eastAsia="zh-CN"/>
        </w:rPr>
        <w:t>（三）“三公”经费的使用和管理情况</w:t>
      </w:r>
    </w:p>
    <w:p w14:paraId="1ED9C2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w:t>
      </w:r>
      <w:r>
        <w:rPr>
          <w:rFonts w:hint="eastAsia" w:ascii="仿宋_GB2312" w:hAnsi="仿宋_GB2312" w:cs="仿宋_GB2312"/>
          <w:b w:val="0"/>
          <w:bCs w:val="0"/>
          <w:color w:val="auto"/>
          <w:sz w:val="32"/>
          <w:szCs w:val="32"/>
          <w:lang w:val="en-US" w:eastAsia="zh-CN"/>
        </w:rPr>
        <w:t>9.38</w:t>
      </w:r>
      <w:r>
        <w:rPr>
          <w:rFonts w:hint="eastAsia" w:ascii="仿宋_GB2312" w:hAnsi="仿宋_GB2312" w:eastAsia="仿宋_GB2312" w:cs="仿宋_GB2312"/>
          <w:b w:val="0"/>
          <w:bCs w:val="0"/>
          <w:color w:val="auto"/>
          <w:sz w:val="32"/>
          <w:szCs w:val="32"/>
          <w:lang w:val="en-US" w:eastAsia="zh-CN"/>
        </w:rPr>
        <w:t>元，其中：公务接待费</w:t>
      </w:r>
      <w:r>
        <w:rPr>
          <w:rFonts w:hint="eastAsia" w:ascii="仿宋_GB2312" w:hAnsi="仿宋_GB2312" w:cs="仿宋_GB2312"/>
          <w:b w:val="0"/>
          <w:bCs w:val="0"/>
          <w:color w:val="auto"/>
          <w:sz w:val="32"/>
          <w:szCs w:val="32"/>
          <w:lang w:val="en-US" w:eastAsia="zh-CN"/>
        </w:rPr>
        <w:t>9.38</w:t>
      </w:r>
      <w:r>
        <w:rPr>
          <w:rFonts w:hint="eastAsia" w:ascii="仿宋_GB2312" w:hAnsi="仿宋_GB2312" w:eastAsia="仿宋_GB2312" w:cs="仿宋_GB2312"/>
          <w:b w:val="0"/>
          <w:bCs w:val="0"/>
          <w:color w:val="auto"/>
          <w:sz w:val="32"/>
          <w:szCs w:val="32"/>
          <w:lang w:val="en-US" w:eastAsia="zh-CN"/>
        </w:rPr>
        <w:t>万元、因公出国（境）费用0万元、公务用车购置及运行费</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万元。全年决算局单位支出“三公”经费为7.09万元，其中：公务接待费7.09万元、因公出国（境）费用0万元、公务用车购置及运行费</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14:paraId="3F3611EB">
      <w:pPr>
        <w:pStyle w:val="3"/>
        <w:bidi w:val="0"/>
        <w:rPr>
          <w:rFonts w:hint="eastAsia"/>
          <w:lang w:val="en-US" w:eastAsia="zh-CN"/>
        </w:rPr>
      </w:pPr>
      <w:r>
        <w:rPr>
          <w:rFonts w:hint="eastAsia"/>
          <w:lang w:val="en-US" w:eastAsia="zh-CN"/>
        </w:rPr>
        <w:t>三、政府性基金预算支出情况</w:t>
      </w:r>
    </w:p>
    <w:p w14:paraId="14C314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284843A">
      <w:pPr>
        <w:pStyle w:val="3"/>
        <w:bidi w:val="0"/>
        <w:rPr>
          <w:rFonts w:hint="eastAsia"/>
          <w:lang w:val="en-US" w:eastAsia="zh-CN"/>
        </w:rPr>
      </w:pPr>
      <w:r>
        <w:rPr>
          <w:rFonts w:hint="eastAsia"/>
          <w:lang w:val="en-US" w:eastAsia="zh-CN"/>
        </w:rPr>
        <w:t>四、国有资本经营预算支出情况</w:t>
      </w:r>
    </w:p>
    <w:p w14:paraId="2C4FE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322286E4">
      <w:pPr>
        <w:pStyle w:val="3"/>
        <w:bidi w:val="0"/>
        <w:rPr>
          <w:rFonts w:hint="eastAsia"/>
          <w:lang w:val="en-US" w:eastAsia="zh-CN"/>
        </w:rPr>
      </w:pPr>
      <w:r>
        <w:rPr>
          <w:rFonts w:hint="eastAsia"/>
          <w:lang w:val="en-US" w:eastAsia="zh-CN"/>
        </w:rPr>
        <w:t>五、社会保险基金预算支出情况</w:t>
      </w:r>
    </w:p>
    <w:p w14:paraId="5CE128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6CC423E6">
      <w:pPr>
        <w:pStyle w:val="3"/>
        <w:bidi w:val="0"/>
        <w:rPr>
          <w:rFonts w:hint="eastAsia"/>
          <w:lang w:val="en-US" w:eastAsia="zh-CN"/>
        </w:rPr>
      </w:pPr>
      <w:r>
        <w:rPr>
          <w:rFonts w:hint="eastAsia"/>
          <w:lang w:val="en-US" w:eastAsia="zh-CN"/>
        </w:rPr>
        <w:t>六、部门整体支出绩效情况</w:t>
      </w:r>
    </w:p>
    <w:p w14:paraId="4FA35153">
      <w:pPr>
        <w:pStyle w:val="4"/>
        <w:bidi w:val="0"/>
        <w:rPr>
          <w:rFonts w:hint="eastAsia"/>
          <w:lang w:val="en-US" w:eastAsia="zh-CN"/>
        </w:rPr>
      </w:pPr>
      <w:r>
        <w:rPr>
          <w:rFonts w:hint="eastAsia"/>
          <w:lang w:val="en-US" w:eastAsia="zh-CN"/>
        </w:rPr>
        <w:t>（一）综合评价结论</w:t>
      </w:r>
    </w:p>
    <w:p w14:paraId="740AD4C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根据资金绩效评价指标体系和绩效检查情况，财政资金整体绩效分值</w:t>
      </w:r>
      <w:r>
        <w:rPr>
          <w:rFonts w:hint="eastAsia" w:ascii="Times New Roman" w:hAnsi="Times New Roman" w:eastAsia="仿宋_GB2312" w:cs="仿宋_GB2312"/>
          <w:i w:val="0"/>
          <w:iCs w:val="0"/>
          <w:caps w:val="0"/>
          <w:color w:val="000000"/>
          <w:spacing w:val="0"/>
          <w:sz w:val="32"/>
          <w:szCs w:val="32"/>
          <w:shd w:val="clear" w:fill="FFFFFF"/>
        </w:rPr>
        <w:t>100</w:t>
      </w:r>
      <w:r>
        <w:rPr>
          <w:rFonts w:hint="eastAsia" w:ascii="仿宋_GB2312" w:hAnsi="仿宋_GB2312" w:eastAsia="仿宋_GB2312" w:cs="仿宋_GB2312"/>
          <w:i w:val="0"/>
          <w:iCs w:val="0"/>
          <w:caps w:val="0"/>
          <w:color w:val="000000"/>
          <w:spacing w:val="0"/>
          <w:sz w:val="32"/>
          <w:szCs w:val="32"/>
          <w:shd w:val="clear" w:fill="FFFFFF"/>
        </w:rPr>
        <w:t>分，从预算编制和执行情况、节能降耗情况、</w:t>
      </w:r>
      <w:r>
        <w:rPr>
          <w:rFonts w:hint="eastAsia" w:ascii="仿宋_GB2312" w:hAnsi="仿宋_GB2312" w:eastAsia="仿宋_GB2312" w:cs="仿宋_GB2312"/>
          <w:i w:val="0"/>
          <w:iCs w:val="0"/>
          <w:caps w:val="0"/>
          <w:color w:val="000000"/>
          <w:spacing w:val="0"/>
          <w:sz w:val="32"/>
          <w:szCs w:val="32"/>
          <w:shd w:val="clear" w:fill="FFFFFF"/>
          <w:lang w:eastAsia="zh-CN"/>
        </w:rPr>
        <w:t>“三公”经费</w:t>
      </w:r>
      <w:r>
        <w:rPr>
          <w:rFonts w:hint="eastAsia" w:ascii="仿宋_GB2312" w:hAnsi="仿宋_GB2312" w:eastAsia="仿宋_GB2312" w:cs="仿宋_GB2312"/>
          <w:i w:val="0"/>
          <w:iCs w:val="0"/>
          <w:caps w:val="0"/>
          <w:color w:val="000000"/>
          <w:spacing w:val="0"/>
          <w:sz w:val="32"/>
          <w:szCs w:val="32"/>
          <w:shd w:val="clear" w:fill="FFFFFF"/>
        </w:rPr>
        <w:t>控制情况，项目支出管理规范和绩效情况等方面总体评价，</w:t>
      </w:r>
      <w:r>
        <w:rPr>
          <w:rFonts w:hint="eastAsia" w:ascii="仿宋_GB2312" w:hAnsi="仿宋_GB2312" w:eastAsia="仿宋_GB2312" w:cs="仿宋_GB2312"/>
          <w:i w:val="0"/>
          <w:iCs w:val="0"/>
          <w:caps w:val="0"/>
          <w:color w:val="000000"/>
          <w:spacing w:val="0"/>
          <w:sz w:val="32"/>
          <w:szCs w:val="32"/>
          <w:shd w:val="clear" w:fill="FFFFFF"/>
          <w:lang w:val="en-US" w:eastAsia="zh-CN"/>
        </w:rPr>
        <w:t>部门整体支出</w:t>
      </w:r>
      <w:r>
        <w:rPr>
          <w:rFonts w:hint="eastAsia" w:ascii="仿宋_GB2312" w:hAnsi="仿宋_GB2312" w:eastAsia="仿宋_GB2312" w:cs="仿宋_GB2312"/>
          <w:i w:val="0"/>
          <w:iCs w:val="0"/>
          <w:caps w:val="0"/>
          <w:color w:val="000000"/>
          <w:spacing w:val="0"/>
          <w:sz w:val="32"/>
          <w:szCs w:val="32"/>
          <w:shd w:val="clear" w:fill="FFFFFF"/>
        </w:rPr>
        <w:t>实得</w:t>
      </w:r>
      <w:r>
        <w:rPr>
          <w:rFonts w:hint="eastAsia" w:ascii="Times New Roman" w:hAnsi="Times New Roman" w:cs="仿宋_GB2312"/>
          <w:i w:val="0"/>
          <w:iCs w:val="0"/>
          <w:caps w:val="0"/>
          <w:color w:val="000000"/>
          <w:spacing w:val="0"/>
          <w:sz w:val="32"/>
          <w:szCs w:val="32"/>
          <w:shd w:val="clear" w:fill="FFFFFF"/>
          <w:lang w:val="en-US" w:eastAsia="zh-CN"/>
        </w:rPr>
        <w:t>100</w:t>
      </w:r>
      <w:r>
        <w:rPr>
          <w:rFonts w:hint="eastAsia" w:ascii="仿宋_GB2312" w:hAnsi="仿宋_GB2312" w:eastAsia="仿宋_GB2312" w:cs="仿宋_GB2312"/>
          <w:i w:val="0"/>
          <w:iCs w:val="0"/>
          <w:caps w:val="0"/>
          <w:color w:val="000000"/>
          <w:spacing w:val="0"/>
          <w:sz w:val="32"/>
          <w:szCs w:val="32"/>
          <w:shd w:val="clear" w:fill="FFFFFF"/>
        </w:rPr>
        <w:t>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p>
    <w:p w14:paraId="4CAEA5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本次共自评</w:t>
      </w:r>
      <w:r>
        <w:rPr>
          <w:rFonts w:hint="eastAsia" w:ascii="Times New Roman" w:hAnsi="Times New Roman"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lang w:val="en-US" w:eastAsia="zh-CN"/>
        </w:rPr>
        <w:t>个项目，得分均为100分，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r>
        <w:rPr>
          <w:rFonts w:hint="eastAsia" w:ascii="仿宋_GB2312" w:cs="仿宋_GB2312"/>
          <w:i w:val="0"/>
          <w:iCs w:val="0"/>
          <w:caps w:val="0"/>
          <w:color w:val="000000"/>
          <w:spacing w:val="0"/>
          <w:sz w:val="32"/>
          <w:szCs w:val="32"/>
          <w:shd w:val="clear" w:fill="FFFFFF"/>
          <w:lang w:val="en-US" w:eastAsia="zh-CN"/>
        </w:rPr>
        <w:t>部门整体支出自评100分，评价等级为优。</w:t>
      </w:r>
    </w:p>
    <w:p w14:paraId="29FBAD5C">
      <w:pPr>
        <w:pStyle w:val="4"/>
        <w:bidi w:val="0"/>
        <w:rPr>
          <w:rFonts w:hint="eastAsia"/>
          <w:lang w:val="en-US" w:eastAsia="zh-CN"/>
        </w:rPr>
      </w:pPr>
      <w:r>
        <w:rPr>
          <w:rFonts w:hint="eastAsia"/>
          <w:lang w:val="en-US" w:eastAsia="zh-CN"/>
        </w:rPr>
        <w:t>（二）综合评价情况</w:t>
      </w:r>
    </w:p>
    <w:p w14:paraId="51CCC2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1.专项组织情况分析</w:t>
      </w:r>
    </w:p>
    <w:p w14:paraId="23E23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2024年项目经费支出</w:t>
      </w:r>
      <w:r>
        <w:rPr>
          <w:rFonts w:hint="eastAsia"/>
          <w:lang w:val="en-US" w:eastAsia="zh-CN"/>
        </w:rPr>
        <w:t>2196.37</w:t>
      </w:r>
      <w:r>
        <w:rPr>
          <w:rFonts w:hint="eastAsia" w:ascii="仿宋_GB2312" w:hAnsi="仿宋_GB2312" w:eastAsia="仿宋_GB2312" w:cs="仿宋_GB2312"/>
          <w:b w:val="0"/>
          <w:bCs w:val="0"/>
          <w:color w:val="auto"/>
          <w:sz w:val="32"/>
          <w:szCs w:val="32"/>
          <w:lang w:val="en-US" w:eastAsia="zh-CN"/>
        </w:rPr>
        <w:t>万元，项目支出是在基本支出之外为完成其特定的行政工作任务而发生的支出，用于业务工作专项、运行维护专项等。</w:t>
      </w:r>
    </w:p>
    <w:p w14:paraId="6AF629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2.专项管理情况分析</w:t>
      </w:r>
    </w:p>
    <w:p w14:paraId="5591E0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根据县财政要求，严格进行绩效目标管理，资金覆盖率符合文件对本年度的要求。通过建立合理完善的制度体系和高效有序的运转流程，部门整体支出的经济性、效率性、有效性和可持续性都明显增强，切实提升了县机关事务中心整体支出效益，有力推动了各项工作开展，实现了部门预算管理总体目标。</w:t>
      </w:r>
    </w:p>
    <w:p w14:paraId="57C40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3.资产管理情况</w:t>
      </w:r>
    </w:p>
    <w:p w14:paraId="7C961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资产配置、处理严格按照资产管理办法执行。资产的购置按照财政采购程序进行申办、购置。财务人员对于价值1500元以上的资产及时进行固定资产账务处理，确保每项资产的使用点、使用人都成册备案登记，确保资产的安全管理。</w:t>
      </w:r>
    </w:p>
    <w:p w14:paraId="19564E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4.评价指标分析</w:t>
      </w:r>
    </w:p>
    <w:p w14:paraId="4BD6CC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目标1：</w:t>
      </w:r>
    </w:p>
    <w:p w14:paraId="5C7C77B6">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eastAsia="仿宋_GB2312" w:cs="仿宋_GB2312" w:hAnsiTheme="minorAscii"/>
          <w:i w:val="0"/>
          <w:iCs w:val="0"/>
          <w:caps w:val="0"/>
          <w:color w:val="000000"/>
          <w:spacing w:val="0"/>
          <w:kern w:val="0"/>
          <w:sz w:val="32"/>
          <w:szCs w:val="32"/>
          <w:shd w:val="clear" w:fill="FFFFFF"/>
          <w:lang w:val="zh-CN"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重点工作</w:t>
      </w:r>
      <w:r>
        <w:rPr>
          <w:rFonts w:hint="eastAsia" w:ascii="仿宋_GB2312" w:eastAsia="仿宋_GB2312" w:cs="仿宋_GB2312" w:hAnsiTheme="minorAscii"/>
          <w:b/>
          <w:bCs/>
          <w:i w:val="0"/>
          <w:iCs w:val="0"/>
          <w:caps w:val="0"/>
          <w:color w:val="000000"/>
          <w:spacing w:val="0"/>
          <w:kern w:val="0"/>
          <w:sz w:val="32"/>
          <w:szCs w:val="32"/>
          <w:shd w:val="clear" w:fill="FFFFFF"/>
          <w:lang w:val="zh-CN" w:eastAsia="zh-CN" w:bidi="ar"/>
        </w:rPr>
        <w:t>强力推动。</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按照县委县政府工作部署，我们主动作为，勇于担当，科学谋划，强力推动，确保重点工作落地见效。一是积极谋划“十五五”规划编制工作。《沅陵县“十五五”规划编制工作方案》分别于10月、11月经县政府常务会议、县委常委会审议通过。向市申报重大战略任务、重大改革举措、重大工程项目“三个重大”事项25个，市审查后报省我县有13项（个），其中：重大改革举措2个（即农村能源革命试点县建设、普惠金融发展示范区）、重大工程项目11个（即益吉铁路、张沅高速、张官高速、G241沅陵县凉水井至穿岩孔公路、G241穿岩孔至溆浦县低庄公路、五强溪扩大防洪库容大型水库、车坪抽水畜能发电、通用航空产业园、内陆港口及临港产业园、辰州矿业金锑冶炼综合改造升级、山能环保15万吨氯氨法电解锌生产线，总投资694.24亿元）。与交通、水利、工信、住建、产业开发区、教育、商务等部门合力谋划，初步编制全县重点项目100余个，总投资1000亿元以上。2024年12月前，完成“十五五”规划《基本思路》，2025年12月前完成“十五五”规划纲要（草案），2026年6月前完成“十五五”规划编制工作任务。二是深入推进“6+3”现代化产业新体系建设。坚持以园区为主阵地，大力实施产业培塑行动，聚焦“一主两特”，做强6大临港产业。园区载体日益巩固，技工贸总收入、规模工业产值分别增长7.6%、11.7%。新材料、电子元器件和食品三大产业链分别实现规模工业产值215.1亿元、10.1亿元、4.5亿元，分别增长8%、13.5%、13.3%。金属新材料产业链，山能环保5万吨电解锌自动化生产线、智金矿业年产1万吨锌精砂项目建成投产，启动了辰州工业新区、山能环保三期项目建设；电子元器件产业链，沅翼微电一期建成投产，志博信金属基板项目启动实施；食品产业链，沅陵酱酒（二期）、碣滩大宗茶生产进展顺利，惠生肉品、天天食品即将投产；新能源及其装备产业链，华能让家溪风电场、凤滩电厂机组改造项目正式并网发电，陕建风电装备项目建成投产；现代中医药种植加工产业链，新开发中药材基地4.8万亩，全县中药材种植面积达到23万亩；文化旅游产业链，成功举办了传统龙舟大赛，全年接待游客597.2万人次,实现旅游总收入55.4亿元。全力推进主体强身行动，新增经营主体2465户、“四上”企业34家。三是扎实抓好固定资产投资管理工作。全年完成固定资产投资135亿元以上，增长10%。四是抓好区域共进行动。持续强化县城引领方面：形成了以县城为核心的“一核两线五点”文旅发展格局，预计全年签约文旅项目5个，总金额18.63亿元，到位资金1.4亿元。完成辰州古街一期项目建设；二期项目建设初步规划已完成，待审核批复。龙兴大道、凤鸣大道已完善规划设计，待上会完成决策程序。不断做大县域经济方面：突出“一主两特”产业定位，加快补链延链强链，实施新材料项目3个、电子元器件项目2个，部分已投产。新材料、电子元器件产业规上企业共10家，预计全年实现规模产值208.5亿元、10.7亿元，增长-12.8 %、45.8 %。夯实文旅产业发展基础，推动优质文旅资源转化，拉动经济增长。预计全年接待游客587.3万人次、同比增长7%，实现旅游收入55.3亿元，同比增长9%。推进城乡协调发展方面：全面完成全县第二轮土地承包到期后再延长30年麻溪铺镇试点工作。中药材开发基地外业验收工作完成，“沅陵黄柏”国家地理标志公用商标、“沅陵黄柏”国家名特优新农产品正在申报中。预计完成全县三级路、旅游、资源产业路建设93公里。</w:t>
      </w:r>
    </w:p>
    <w:p w14:paraId="6DC91F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目标2：</w:t>
      </w:r>
    </w:p>
    <w:p w14:paraId="710B1F5F">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项目建设有为有位。</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省市重点项目开工20个，开工率80%，完成投资47.29亿元，为年度计划任务的115%。全域土地综合整治试点（一期）、电子元器件产业园、碣滩茶茶旅融合、沅陵酱酒生态文化产业园、年产5万吨肉品加工产业化、县人民医院（南院）及医疗康养等项目进展较快。“沅辰”高速、大合坪至火场三级公路、蚕忙至牛车河公路建成通车，“张官”高速快速推进。地质灾害点综合治理工程、小型病险水库除险加固项目等8个增发国债项目12月底可全部完工。</w:t>
      </w:r>
    </w:p>
    <w:p w14:paraId="11C96005">
      <w:pPr>
        <w:keepNext w:val="0"/>
        <w:keepLines w:val="0"/>
        <w:pageBreakBefore w:val="0"/>
        <w:kinsoku/>
        <w:wordWrap/>
        <w:overflowPunct/>
        <w:topLinePunct w:val="0"/>
        <w:autoSpaceDE w:val="0"/>
        <w:bidi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目标3：</w:t>
      </w:r>
    </w:p>
    <w:p w14:paraId="12015FC6">
      <w:pPr>
        <w:keepNext w:val="0"/>
        <w:keepLines w:val="0"/>
        <w:pageBreakBefore w:val="0"/>
        <w:kinsoku/>
        <w:wordWrap/>
        <w:overflowPunct/>
        <w:topLinePunct w:val="0"/>
        <w:autoSpaceDE w:val="0"/>
        <w:bidi w:val="0"/>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zh-CN" w:eastAsia="zh-CN" w:bidi="ar"/>
        </w:rPr>
        <w:t>争资跑项连续增长。</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开展“项目大谋划，谋划大项目”活动，对标中央投资政策导向，超前谋划投资项目，高频次对接汇报，争资跑项工作取得一定成效。发改口争取到位“五类”资金125284万元，增长37.1%，分别为：中央和省预算内14144万元、增发国债11679.2万元、超长期特别国债11580万元、地方政府专项债券78400万元、长江保护与修复世行贷款9480.8万元。连续六年突破5亿元大关。2025年，省级储备库在库项目59个，总投资117.4984亿元，拟申报上级资金79.3244亿元；县级储备库在库项目82个，总投资137.5976亿元，拟申报上级资金93.157亿元。</w:t>
      </w:r>
    </w:p>
    <w:p w14:paraId="6B400B76">
      <w:pPr>
        <w:keepNext w:val="0"/>
        <w:keepLines w:val="0"/>
        <w:pageBreakBefore w:val="0"/>
        <w:kinsoku/>
        <w:wordWrap/>
        <w:overflowPunct/>
        <w:topLinePunct w:val="0"/>
        <w:autoSpaceDE w:val="0"/>
        <w:bidi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目标4：</w:t>
      </w:r>
    </w:p>
    <w:p w14:paraId="1D7DA0BB">
      <w:pPr>
        <w:keepNext w:val="0"/>
        <w:keepLines w:val="0"/>
        <w:pageBreakBefore w:val="0"/>
        <w:kinsoku/>
        <w:wordWrap/>
        <w:overflowPunct/>
        <w:topLinePunct w:val="0"/>
        <w:autoSpaceDE w:val="0"/>
        <w:bidi w:val="0"/>
        <w:spacing w:line="520" w:lineRule="exact"/>
        <w:ind w:firstLine="643"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“两重”“两新”激发活力。</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一是全力储备申报“两重”建设项目。储备超长期国债项目56个，总投资602416万元。申报环资、投资、教育、卫健、民政、农业等领域超长期特别国债项目13个，总投资125608万元，拟申报国债资金68951万元。省级初步审核通过项目8个，涉及总投资58638万元，申请国债资金41751万元。目前，我县有太常片区城市地下污水管网及设施建设改造、山能环保公司年产5万吨电解锌生产线绿色化智能化设备更新等2个项目获得资金支持，资金11580万元。二是全面开展“两新”调查摸底。大规模设备更新方面，强化设备设施更新项目储备，聚焦工业、医疗卫生、教育、城建供水、环卫绿化、垃圾分类转运、交通等领域进行项目谋划、包装、储备和前期可研编制等工作，重点突出设备更新需求，合理新增部分所需的设施设备。已储备项目21个，资金需求约17亿元。目前，完成项目备案10个、线上挂网待批2个、完成可研报告编制9个。工业领域：计划或正在实施设备更新改造企业数10家，累计资金需求约2亿元；建筑市政领域：主要集中在供水、污水处理、环卫、电梯等，累计资金需求约3亿元；交通领域：主要集中在新能源公交车、出租车、老旧船舶、客货运码头、客运站场充电桩等方面，累积资金需求约1.2亿元；教育领域：沅陵县职业中学符合申报范围要求，资金需求约0.5亿元；医疗领域：主要集中在医疗机构设备更新，累计资金需求1.5亿元；文旅领域：主要集中在广播设施等，资金需求约0.9亿元。同时推动制造业技改设备更新中长期贷款项目申报，截至目前，已向上申报制造业技术改造、设备更新项目13个，贷款总需要2.475亿元。推动银企对接，促成山能环保公司与浦发银行达成3000万元贷款意向，融资</w:t>
      </w:r>
      <w:r>
        <w:rPr>
          <w:rFonts w:hint="eastAsia" w:ascii="仿宋_GB2312" w:eastAsia="仿宋_GB2312" w:cs="仿宋_GB2312" w:hAnsiTheme="minorAscii"/>
          <w:i w:val="0"/>
          <w:iCs w:val="0"/>
          <w:caps w:val="0"/>
          <w:color w:val="000000"/>
          <w:spacing w:val="0"/>
          <w:kern w:val="0"/>
          <w:sz w:val="32"/>
          <w:szCs w:val="32"/>
          <w:shd w:val="clear" w:fill="FFFFFF"/>
          <w:lang w:val="zh-CN" w:eastAsia="zh-CN" w:bidi="ar"/>
        </w:rPr>
        <w:t>1027万元。</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消费品以旧换新方面，制定沅陵县汽车以旧换新工作实施方案和家电以旧换新工作实施方案，确定68家县内重点家电销售龙头企业、再生资源回收骨干企业、汽贸企业作为实施以旧换新政策的市场主体。在龙舟赛期间，以沅陵县三鑫港贸有限公司为实施主体，在消费节现场开展家电以旧换新，并联合县城10家大型汽贸企业，同步开展汽车以旧换新活动。重点洪涝灾害受灾地区，向上全力争取消费品需求，全县需求数共计6111台（套），资金总需求共计6261.643万元。具体情况是：汽车428台，资金需求4745万元；摩托车1012台，资金需求252.04万元；彩电565套，资金需求112.89万元；冰箱1352套，资金需求622.022万元；洗衣机842台，资金需求176.3万元；手机64台，资金需求24.2448万元；电脑173套，资金需求59.72万元；空调258台，资金需求17.4282万元；热水器187台，资金需求20.31万元；电磁炉41台，资金需求11.66万元；微波炉26台，资金需求1.18万元；床393套，资金需求137.03万元；桌椅167套，资金需求12.274万元；衣柜314套，资金需求24.964万元；沙发289套，资金需求40.58万元；家装资金需求4万元。</w:t>
      </w:r>
    </w:p>
    <w:p w14:paraId="7048B3D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目标5：</w:t>
      </w:r>
    </w:p>
    <w:p w14:paraId="2C999B30">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eastAsia="仿宋_GB2312" w:cs="仿宋_GB2312" w:hAnsiTheme="minorAscii"/>
          <w:b/>
          <w:bCs/>
          <w:i w:val="0"/>
          <w:iCs w:val="0"/>
          <w:caps w:val="0"/>
          <w:color w:val="000000"/>
          <w:spacing w:val="0"/>
          <w:kern w:val="0"/>
          <w:sz w:val="32"/>
          <w:szCs w:val="32"/>
          <w:shd w:val="clear" w:fill="FFFFFF"/>
          <w:lang w:val="en-US" w:eastAsia="zh-CN" w:bidi="ar"/>
        </w:rPr>
        <w:t>粮食储备保障有力。</w:t>
      </w:r>
      <w:r>
        <w:rPr>
          <w:rFonts w:hint="default" w:ascii="仿宋_GB2312" w:eastAsia="仿宋_GB2312" w:cs="仿宋_GB2312" w:hAnsiTheme="minorAscii"/>
          <w:i w:val="0"/>
          <w:iCs w:val="0"/>
          <w:caps w:val="0"/>
          <w:color w:val="000000"/>
          <w:spacing w:val="0"/>
          <w:kern w:val="0"/>
          <w:sz w:val="32"/>
          <w:szCs w:val="32"/>
          <w:shd w:val="clear" w:fill="FFFFFF"/>
          <w:lang w:val="en-US" w:eastAsia="zh-CN" w:bidi="ar"/>
        </w:rPr>
        <w:t>对全县的粮油加工企业、收购企业、储备企业的粮食收购质量</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进行</w:t>
      </w:r>
      <w:r>
        <w:rPr>
          <w:rFonts w:hint="default" w:ascii="仿宋_GB2312" w:eastAsia="仿宋_GB2312" w:cs="仿宋_GB2312" w:hAnsiTheme="minorAscii"/>
          <w:i w:val="0"/>
          <w:iCs w:val="0"/>
          <w:caps w:val="0"/>
          <w:color w:val="000000"/>
          <w:spacing w:val="0"/>
          <w:kern w:val="0"/>
          <w:sz w:val="32"/>
          <w:szCs w:val="32"/>
          <w:shd w:val="clear" w:fill="FFFFFF"/>
          <w:lang w:val="en-US" w:eastAsia="zh-CN" w:bidi="ar"/>
        </w:rPr>
        <w:t>检查，规范企业粮食流通统计台账、质量溯源台账</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9月完成省级储备粮收购计划2795吨，其中收购本县种植大户1889.8吨，促进本县种粮大户生产积极性，解决种植大户卖粮难问题。认真落实地方超标粮应收尽收政策，确保粮食市场流通安全。同时，根据省委、省政府关于改革完善体制机制推动省级储备粮管理改革工作要求，县政府2024年第8次常务会原则同意省储备粮管理有限公司收购沅陵县国家粮食储备库有限公司51%的股权，按照第三方评估机构净资产评估结果作为股权收购依据，由省储备粮管理有限公司集中储备省级储备粮，把沅陵县粮食储备库有限公司作为省级储备粮合作储备库点。</w:t>
      </w:r>
    </w:p>
    <w:p w14:paraId="6BF25498">
      <w:pPr>
        <w:pStyle w:val="3"/>
        <w:bidi w:val="0"/>
        <w:rPr>
          <w:rFonts w:hint="eastAsia"/>
          <w:lang w:val="en-US" w:eastAsia="zh-CN"/>
        </w:rPr>
      </w:pPr>
      <w:r>
        <w:rPr>
          <w:rFonts w:hint="eastAsia"/>
          <w:lang w:val="en-US" w:eastAsia="zh-CN"/>
        </w:rPr>
        <w:t>七、存在的问题及原因分析</w:t>
      </w:r>
    </w:p>
    <w:p w14:paraId="51ABD3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1、财务管理工作有待加强</w:t>
      </w:r>
    </w:p>
    <w:p w14:paraId="739209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单位财务管理工作粗略，不利于落实对部门财务工作的监督管理。一是账务记录不准确，单位将基本支出计入项目支出，账务记录错误；二是项目支出摘要未与实际支出项目匹配，导致业务人员和财务人员，无法直观、确切掌握实际支出情况，影响项目跟踪监管。</w:t>
      </w:r>
    </w:p>
    <w:p w14:paraId="4CED5E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2、资产管理不规范</w:t>
      </w:r>
    </w:p>
    <w:p w14:paraId="4B28DF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sz w:val="32"/>
          <w:szCs w:val="32"/>
          <w:vertAlign w:val="baseline"/>
          <w:lang w:val="en-US" w:eastAsia="zh-CN"/>
        </w:rPr>
        <w:t>固定资产未进行年度盘点，更新固定资产标签，未与资产编号相匹配，实物管理和账目管理不同步，导致资产信息不能够及时传递，存在疏漏</w:t>
      </w:r>
      <w:r>
        <w:rPr>
          <w:rFonts w:hint="eastAsia" w:ascii="仿宋_GB2312" w:hAnsi="仿宋_GB2312" w:eastAsia="仿宋_GB2312" w:cs="仿宋_GB2312"/>
          <w:b w:val="0"/>
          <w:bCs w:val="0"/>
          <w:color w:val="auto"/>
          <w:sz w:val="32"/>
          <w:szCs w:val="32"/>
          <w:lang w:val="en-US" w:eastAsia="zh-CN"/>
        </w:rPr>
        <w:t>。</w:t>
      </w:r>
    </w:p>
    <w:p w14:paraId="297F36F9">
      <w:pPr>
        <w:pStyle w:val="3"/>
        <w:bidi w:val="0"/>
        <w:rPr>
          <w:rFonts w:hint="eastAsia"/>
          <w:lang w:val="en-US" w:eastAsia="zh-CN"/>
        </w:rPr>
      </w:pPr>
      <w:r>
        <w:rPr>
          <w:rFonts w:hint="eastAsia"/>
          <w:lang w:val="en-US" w:eastAsia="zh-CN"/>
        </w:rPr>
        <w:t>八、下一步改进措施</w:t>
      </w:r>
    </w:p>
    <w:p w14:paraId="1004EE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1、进一步规范项目资金列支</w:t>
      </w:r>
    </w:p>
    <w:p w14:paraId="3EABDE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建议按照《预算法》“各部门、各单位应当按照国务院财政部门制定的政府收支分类科目、预算支出标准和要求”进一步加强财务审核，规范项目资金支出，并按照本项目的要求与计划，专款专用，规范资金的用途，提高财务管理水平。</w:t>
      </w:r>
    </w:p>
    <w:p w14:paraId="4F38D5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2、重视资产管理，提高资产使用效率</w:t>
      </w:r>
    </w:p>
    <w:p w14:paraId="7F02F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cs="仿宋_GB2312"/>
          <w:i w:val="0"/>
          <w:iCs w:val="0"/>
          <w:caps w:val="0"/>
          <w:color w:val="000000"/>
          <w:spacing w:val="0"/>
          <w:sz w:val="32"/>
          <w:szCs w:val="32"/>
          <w:shd w:val="clear" w:fill="FFFFFF"/>
          <w:lang w:val="en-US" w:eastAsia="zh-CN"/>
        </w:rPr>
        <w:t>组织对闲置固定资产进行专门清查，对长期积压的待报废资产和已毁损无法使用资产，应当在清查盘点中重点标注，并根据实际及时处置。长期低效运转、闲置资产，应当推进共享共用和调剂使用，盘活存量资产，提高资产使用效率；要进一步健全固定资产台账，完备实物信息资料，对固定资产定期进行清查盘点，真实反映固定资产的数量和增减变化情况，对财务部门入账登记的新增资产和报废处理的资产及时进行核对、确认，确保实物账与财务账相符</w:t>
      </w:r>
      <w:r>
        <w:rPr>
          <w:rFonts w:hint="eastAsia" w:ascii="仿宋_GB2312" w:hAnsi="仿宋_GB2312" w:eastAsia="仿宋_GB2312" w:cs="仿宋_GB2312"/>
          <w:b w:val="0"/>
          <w:bCs w:val="0"/>
          <w:color w:val="auto"/>
          <w:sz w:val="32"/>
          <w:szCs w:val="32"/>
          <w:lang w:val="en-US" w:eastAsia="zh-CN"/>
        </w:rPr>
        <w:t>。</w:t>
      </w:r>
    </w:p>
    <w:p w14:paraId="41696487">
      <w:pPr>
        <w:pStyle w:val="3"/>
        <w:bidi w:val="0"/>
        <w:rPr>
          <w:rFonts w:hint="default" w:ascii="Times New Roman" w:hAnsi="Times New Roman" w:cs="Times New Roman"/>
          <w:i w:val="0"/>
          <w:iCs w:val="0"/>
          <w:caps w:val="0"/>
          <w:color w:val="000000"/>
          <w:spacing w:val="0"/>
          <w:sz w:val="24"/>
          <w:szCs w:val="24"/>
        </w:rPr>
      </w:pPr>
      <w:r>
        <w:rPr>
          <w:rFonts w:hint="eastAsia"/>
        </w:rPr>
        <w:t>九、其他需要说明的情况</w:t>
      </w:r>
    </w:p>
    <w:p w14:paraId="15DE13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无。</w:t>
      </w:r>
    </w:p>
    <w:p w14:paraId="405191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7AE65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CD542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0" w:firstLineChars="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报告应包括以下附件：</w:t>
      </w:r>
    </w:p>
    <w:p w14:paraId="66A5D3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w:t>
      </w:r>
      <w:r>
        <w:rPr>
          <w:rFonts w:hint="default" w:ascii="仿宋_GB2312" w:hAnsi="仿宋_GB2312" w:eastAsia="仿宋_GB2312" w:cs="仿宋_GB2312"/>
          <w:b w:val="0"/>
          <w:bCs w:val="0"/>
          <w:color w:val="auto"/>
          <w:kern w:val="2"/>
          <w:sz w:val="32"/>
          <w:szCs w:val="32"/>
          <w:lang w:val="en-US" w:eastAsia="zh-CN" w:bidi="ar-SA"/>
        </w:rPr>
        <w:t>部门整体支出绩效评价基础数据表</w:t>
      </w:r>
      <w:r>
        <w:rPr>
          <w:rFonts w:hint="eastAsia" w:ascii="仿宋_GB2312" w:hAnsi="仿宋_GB2312" w:eastAsia="仿宋_GB2312" w:cs="仿宋_GB2312"/>
          <w:b w:val="0"/>
          <w:bCs w:val="0"/>
          <w:color w:val="auto"/>
          <w:kern w:val="2"/>
          <w:sz w:val="32"/>
          <w:szCs w:val="32"/>
          <w:lang w:val="en-US" w:eastAsia="zh-CN" w:bidi="ar-SA"/>
        </w:rPr>
        <w:t xml:space="preserve">  </w:t>
      </w:r>
    </w:p>
    <w:p w14:paraId="27B791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w:t>
      </w:r>
      <w:r>
        <w:rPr>
          <w:rFonts w:hint="default" w:ascii="仿宋_GB2312" w:hAnsi="仿宋_GB2312" w:eastAsia="仿宋_GB2312" w:cs="仿宋_GB2312"/>
          <w:b w:val="0"/>
          <w:bCs w:val="0"/>
          <w:color w:val="auto"/>
          <w:kern w:val="2"/>
          <w:sz w:val="32"/>
          <w:szCs w:val="32"/>
          <w:lang w:val="en-US" w:eastAsia="zh-CN" w:bidi="ar-SA"/>
        </w:rPr>
        <w:t>部门整体支出绩效自评表</w:t>
      </w:r>
    </w:p>
    <w:p w14:paraId="6FC46728">
      <w:pPr>
        <w:rPr>
          <w:rFonts w:hint="eastAsia"/>
          <w:lang w:val="en-US" w:eastAsia="zh-CN"/>
        </w:rPr>
      </w:pPr>
    </w:p>
    <w:p w14:paraId="76A900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2B3C0A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793F743A">
      <w:pPr>
        <w:widowControl w:val="0"/>
        <w:kinsoku/>
        <w:autoSpaceDE/>
        <w:autoSpaceDN/>
        <w:adjustRightInd/>
        <w:snapToGrid/>
        <w:spacing w:line="600" w:lineRule="exact"/>
        <w:jc w:val="both"/>
        <w:textAlignment w:val="auto"/>
        <w:rPr>
          <w:rFonts w:hint="default"/>
          <w:lang w:val="en-US" w:eastAsia="zh-CN"/>
        </w:rPr>
      </w:pPr>
    </w:p>
    <w:sectPr>
      <w:footerReference r:id="rId6" w:type="default"/>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D8FBECB-8CD4-4277-8D6C-9BB889CED740}"/>
  </w:font>
  <w:font w:name="仿宋_GB2312">
    <w:panose1 w:val="02010609030101010101"/>
    <w:charset w:val="86"/>
    <w:family w:val="auto"/>
    <w:pitch w:val="default"/>
    <w:sig w:usb0="00000001" w:usb1="080E0000" w:usb2="00000000" w:usb3="00000000" w:csb0="00040000" w:csb1="00000000"/>
    <w:embedRegular r:id="rId2" w:fontKey="{39C6C957-0012-4253-97FB-D930A151ADA1}"/>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28EA7FA5-98F9-4A2C-9784-7329EB02579D}"/>
  </w:font>
  <w:font w:name="方正小标宋_GBK">
    <w:panose1 w:val="03000509000000000000"/>
    <w:charset w:val="86"/>
    <w:family w:val="auto"/>
    <w:pitch w:val="default"/>
    <w:sig w:usb0="00000001" w:usb1="080E0000" w:usb2="00000000" w:usb3="00000000" w:csb0="00040000" w:csb1="00000000"/>
    <w:embedRegular r:id="rId4" w:fontKey="{63066622-B713-4BAB-90B6-20E8E4B1263B}"/>
  </w:font>
  <w:font w:name="方正小标宋简体">
    <w:panose1 w:val="03000509000000000000"/>
    <w:charset w:val="86"/>
    <w:family w:val="auto"/>
    <w:pitch w:val="default"/>
    <w:sig w:usb0="00000001" w:usb1="080E0000" w:usb2="00000000" w:usb3="00000000" w:csb0="00040000" w:csb1="00000000"/>
    <w:embedRegular r:id="rId5" w:fontKey="{AA1297F8-6B17-4CF7-9F78-9B07E968198D}"/>
  </w:font>
  <w:font w:name="方正仿宋_GB2312">
    <w:panose1 w:val="02000000000000000000"/>
    <w:charset w:val="86"/>
    <w:family w:val="auto"/>
    <w:pitch w:val="default"/>
    <w:sig w:usb0="A00002BF" w:usb1="184F6CFA" w:usb2="00000012" w:usb3="00000000" w:csb0="00040001" w:csb1="00000000"/>
    <w:embedRegular r:id="rId6" w:fontKey="{25D6D89E-C59E-4F24-97CE-8C07D027B989}"/>
  </w:font>
  <w:font w:name="仿宋">
    <w:panose1 w:val="02010609060101010101"/>
    <w:charset w:val="86"/>
    <w:family w:val="auto"/>
    <w:pitch w:val="default"/>
    <w:sig w:usb0="800002BF" w:usb1="38CF7CFA" w:usb2="00000016" w:usb3="00000000" w:csb0="00040001" w:csb1="00000000"/>
    <w:embedRegular r:id="rId7" w:fontKey="{70C0498A-5DDE-4C31-8A2B-DBB934A54646}"/>
  </w:font>
  <w:font w:name="WPSEMBED3">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BED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532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532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9920a277-c0c3-43b4-93d3-1636fe398e0b"/>
  </w:docVars>
  <w:rsids>
    <w:rsidRoot w:val="753C4E9B"/>
    <w:rsid w:val="005C1EDE"/>
    <w:rsid w:val="01A54239"/>
    <w:rsid w:val="05E95AA6"/>
    <w:rsid w:val="09393553"/>
    <w:rsid w:val="095A75BF"/>
    <w:rsid w:val="0C180A78"/>
    <w:rsid w:val="0D276746"/>
    <w:rsid w:val="0D464D9C"/>
    <w:rsid w:val="0DD52794"/>
    <w:rsid w:val="0E956870"/>
    <w:rsid w:val="10C666A5"/>
    <w:rsid w:val="1223366A"/>
    <w:rsid w:val="143877FD"/>
    <w:rsid w:val="18D43229"/>
    <w:rsid w:val="191D65E1"/>
    <w:rsid w:val="19E805B2"/>
    <w:rsid w:val="1AC44201"/>
    <w:rsid w:val="22FE234B"/>
    <w:rsid w:val="277E6F02"/>
    <w:rsid w:val="29990575"/>
    <w:rsid w:val="2AF6742D"/>
    <w:rsid w:val="2B7D4651"/>
    <w:rsid w:val="2DB271B7"/>
    <w:rsid w:val="2E833798"/>
    <w:rsid w:val="312A2265"/>
    <w:rsid w:val="36FC0F5D"/>
    <w:rsid w:val="375773F8"/>
    <w:rsid w:val="393E32BB"/>
    <w:rsid w:val="3A872543"/>
    <w:rsid w:val="3C877F32"/>
    <w:rsid w:val="3DB215DB"/>
    <w:rsid w:val="419B2857"/>
    <w:rsid w:val="41D71DA8"/>
    <w:rsid w:val="422335FA"/>
    <w:rsid w:val="46CF53E0"/>
    <w:rsid w:val="49FF08A5"/>
    <w:rsid w:val="4B3D2BEC"/>
    <w:rsid w:val="4C6611ED"/>
    <w:rsid w:val="4DD16C7C"/>
    <w:rsid w:val="552A0475"/>
    <w:rsid w:val="578D10CB"/>
    <w:rsid w:val="595E7B40"/>
    <w:rsid w:val="5A5915AC"/>
    <w:rsid w:val="5B0B1E76"/>
    <w:rsid w:val="5CD32F5A"/>
    <w:rsid w:val="60BD4F83"/>
    <w:rsid w:val="60D06CD3"/>
    <w:rsid w:val="657B7535"/>
    <w:rsid w:val="68174738"/>
    <w:rsid w:val="6A12486A"/>
    <w:rsid w:val="753C4E9B"/>
    <w:rsid w:val="76574799"/>
    <w:rsid w:val="781113A7"/>
    <w:rsid w:val="791E6510"/>
    <w:rsid w:val="7A0C45CA"/>
    <w:rsid w:val="7C8D4A41"/>
    <w:rsid w:val="7F7E686D"/>
    <w:rsid w:val="7F85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4"/>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4">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2">
    <w:name w:val="heading 6"/>
    <w:basedOn w:val="1"/>
    <w:next w:val="1"/>
    <w:qFormat/>
    <w:uiPriority w:val="99"/>
    <w:pPr>
      <w:keepNext/>
      <w:keepLines/>
      <w:spacing w:line="316" w:lineRule="auto"/>
      <w:outlineLvl w:val="5"/>
    </w:pPr>
    <w:rPr>
      <w:rFonts w:ascii="Arial" w:hAnsi="Arial" w:eastAsia="黑体"/>
      <w:b/>
      <w:bCs/>
      <w:sz w:val="24"/>
      <w:szCs w:val="24"/>
    </w:rPr>
  </w:style>
  <w:style w:type="character" w:default="1" w:styleId="15">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index 5"/>
    <w:basedOn w:val="1"/>
    <w:next w:val="1"/>
    <w:qFormat/>
    <w:uiPriority w:val="99"/>
    <w:pPr>
      <w:ind w:left="1680"/>
    </w:pPr>
  </w:style>
  <w:style w:type="paragraph" w:styleId="7">
    <w:name w:val="Body Text"/>
    <w:basedOn w:val="1"/>
    <w:next w:val="8"/>
    <w:autoRedefine/>
    <w:unhideWhenUsed/>
    <w:qFormat/>
    <w:uiPriority w:val="99"/>
    <w:pPr>
      <w:spacing w:before="100" w:beforeAutospacing="1"/>
    </w:pPr>
    <w:rPr>
      <w:rFonts w:ascii="Calibri" w:hAnsi="Calibri" w:eastAsia="宋体" w:cs="Times New Roman"/>
      <w:szCs w:val="21"/>
    </w:rPr>
  </w:style>
  <w:style w:type="paragraph" w:styleId="8">
    <w:name w:val="Body Text First Indent"/>
    <w:basedOn w:val="7"/>
    <w:qFormat/>
    <w:uiPriority w:val="0"/>
    <w:pPr>
      <w:ind w:firstLine="420" w:firstLineChars="100"/>
    </w:pPr>
  </w:style>
  <w:style w:type="paragraph" w:styleId="9">
    <w:name w:val="Body Text Indent"/>
    <w:basedOn w:val="1"/>
    <w:autoRedefine/>
    <w:unhideWhenUsed/>
    <w:qFormat/>
    <w:uiPriority w:val="0"/>
    <w:pPr>
      <w:spacing w:beforeLines="0" w:afterLines="0"/>
      <w:ind w:firstLine="640" w:firstLineChars="200"/>
    </w:pPr>
    <w:rPr>
      <w:rFonts w:hint="default"/>
      <w:sz w:val="32"/>
    </w:rPr>
  </w:style>
  <w:style w:type="paragraph" w:styleId="10">
    <w:name w:val="footer"/>
    <w:basedOn w:val="1"/>
    <w:next w:val="6"/>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autoRedefine/>
    <w:unhideWhenUsed/>
    <w:qFormat/>
    <w:uiPriority w:val="99"/>
    <w:pPr>
      <w:spacing w:beforeLines="0" w:afterLines="0"/>
      <w:ind w:firstLine="420"/>
    </w:pPr>
    <w:rPr>
      <w:rFonts w:hint="default"/>
      <w:sz w:val="32"/>
    </w:rPr>
  </w:style>
  <w:style w:type="paragraph" w:customStyle="1" w:styleId="16">
    <w:name w:val="标题1"/>
    <w:basedOn w:val="4"/>
    <w:autoRedefine/>
    <w:qFormat/>
    <w:uiPriority w:val="0"/>
    <w:rPr>
      <w:rFonts w:eastAsia="黑体"/>
    </w:rPr>
  </w:style>
  <w:style w:type="paragraph" w:customStyle="1" w:styleId="17">
    <w:name w:val="首行缩进"/>
    <w:basedOn w:val="1"/>
    <w:autoRedefine/>
    <w:qFormat/>
    <w:uiPriority w:val="0"/>
    <w:pPr>
      <w:ind w:firstLine="480" w:firstLineChars="200"/>
    </w:pPr>
    <w:rPr>
      <w:lang w:val="zh-CN"/>
    </w:rPr>
  </w:style>
  <w:style w:type="paragraph" w:customStyle="1" w:styleId="18">
    <w:name w:val="Table Paragraph"/>
    <w:basedOn w:val="1"/>
    <w:autoRedefine/>
    <w:qFormat/>
    <w:uiPriority w:val="0"/>
    <w:pPr>
      <w:autoSpaceDE w:val="0"/>
      <w:autoSpaceDN w:val="0"/>
      <w:jc w:val="left"/>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7058</Words>
  <Characters>7634</Characters>
  <Lines>0</Lines>
  <Paragraphs>0</Paragraphs>
  <TotalTime>2</TotalTime>
  <ScaleCrop>false</ScaleCrop>
  <LinksUpToDate>false</LinksUpToDate>
  <CharactersWithSpaces>7642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2024-05-11T03:34:00Z</cp:lastPrinted>
  <dcterms:modified xsi:type="dcterms:W3CDTF">2025-10-27T07:34:50Z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79E0885E77CB4E00935F77D75A5651B3_13</vt:lpwstr>
  </property>
  <property fmtid="{D5CDD505-2E9C-101B-9397-08002B2CF9AE}" pid="4" name="KSOTemplateDocerSaveRecord">
    <vt:lpwstr>eyJoZGlkIjoiN2YzNjBkOTgyNWQ1YTMxYzM3MzMwNWFiODNmOWIzYWMiLCJ1c2VySWQiOiIyNjQxMDUwMTIifQ==</vt:lpwstr>
  </property>
</Properties>
</file>