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5F32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仿宋_GB2312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</w:p>
    <w:p w14:paraId="274D605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0967815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73B8C0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E04E44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2C9916F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585BCE9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32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</w:rPr>
        <w:t>2019年4月，</w:t>
      </w:r>
      <w:bookmarkStart w:id="0" w:name="_GoBack"/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</w:rPr>
        <w:t>沅陵县退役军人事务局</w:t>
      </w:r>
      <w:bookmarkEnd w:id="0"/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</w:rPr>
        <w:t>挂牌成立，为县政府组成机构，正科级单位，设党组书记、局长1名，党组成员、副局长2名。全局内设办公室（加挂财务股牌子）、拥军优抚股、移交安置股、思想政治和权益维护股、就业创业和军休管理股共5个股室。下辖二级机构3个，分别为县退役军人服务中心、县光荣院（军休所）和县湘西剿匪烈士纪念园事务所（烈士陵园事务所）。</w:t>
      </w:r>
    </w:p>
    <w:p w14:paraId="733FBB8D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1DD7972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32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</w:rPr>
        <w:t>全局共有编制24名，其中行政编制6名，事业编制18名。截止2023年12月，实到位干部职工23人。</w:t>
      </w:r>
    </w:p>
    <w:p w14:paraId="42E2935B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76B2025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</w:rPr>
        <w:t>执行党和国家关于退役军人思想政治、管理保障和优抚安置等工作政策法规；负责全县军队转业干部、自主择业军队干部、复员军人、军休干部、退役士兵和无军籍退休退职职工和军烈属的服务保障工作；组织指导全县退役军人就业教育培训，扶持退役军人和随军、随调家属就业创业工作。负责拥军优属、优抚及烈士褒扬工作等。</w:t>
      </w:r>
    </w:p>
    <w:p w14:paraId="20137FB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79EA75D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 w14:paraId="06446CE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按照本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预算绩效管理工作的总体要求，本部门1个预算单位开展了2024年项目预算绩效 目标填报工作，编报绩效目标的项目1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个，涉及预算资金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5288.5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</w:p>
    <w:p w14:paraId="281365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1BF148B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预算执行、使用、管理总体情况。</w:t>
      </w:r>
    </w:p>
    <w:p w14:paraId="1C84BD76">
      <w:pPr>
        <w:widowControl/>
        <w:ind w:firstLine="632" w:firstLineChars="200"/>
        <w:jc w:val="left"/>
        <w:rPr>
          <w:rFonts w:hint="eastAsia" w:ascii="仿宋_GB2312" w:hAnsi="仿宋_GB2312" w:eastAsia="仿宋_GB2312"/>
          <w:sz w:val="32"/>
          <w:lang w:bidi="ar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年度决算收入总计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5675.5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万元；202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年度支出合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计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5675.5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万元，</w:t>
      </w:r>
      <w:r>
        <w:rPr>
          <w:rFonts w:hint="eastAsia" w:ascii="仿宋_GB2312" w:hAnsi="仿宋_GB2312" w:eastAsia="仿宋_GB2312"/>
          <w:sz w:val="32"/>
          <w:lang w:bidi="ar"/>
        </w:rPr>
        <w:t>从财政拨款支出结构看，按支出性质分析，基本支出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38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_GB2312" w:eastAsia="仿宋_GB2312"/>
          <w:sz w:val="32"/>
          <w:lang w:bidi="ar"/>
        </w:rPr>
        <w:t>万元，占财政拨款支出的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6.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82</w:t>
      </w:r>
      <w:r>
        <w:rPr>
          <w:rFonts w:eastAsia="Times New Roman"/>
          <w:sz w:val="32"/>
          <w:lang w:bidi="ar"/>
        </w:rPr>
        <w:t>%</w:t>
      </w:r>
      <w:r>
        <w:rPr>
          <w:rFonts w:hint="eastAsia" w:ascii="仿宋_GB2312" w:hAnsi="仿宋_GB2312" w:eastAsia="仿宋_GB2312"/>
          <w:sz w:val="32"/>
          <w:lang w:bidi="ar"/>
        </w:rPr>
        <w:t>；项目支出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528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8.5</w:t>
      </w:r>
      <w:r>
        <w:rPr>
          <w:rFonts w:hint="eastAsia" w:ascii="仿宋_GB2312" w:hAnsi="仿宋_GB2312" w:eastAsia="仿宋_GB2312"/>
          <w:sz w:val="32"/>
          <w:lang w:bidi="ar"/>
        </w:rPr>
        <w:t>万元，占财政拨款支出的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93.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18</w:t>
      </w:r>
      <w:r>
        <w:rPr>
          <w:rFonts w:eastAsia="Times New Roman"/>
          <w:sz w:val="32"/>
          <w:lang w:bidi="ar"/>
        </w:rPr>
        <w:t>%</w:t>
      </w:r>
      <w:r>
        <w:rPr>
          <w:rFonts w:hint="eastAsia" w:ascii="仿宋_GB2312" w:hAnsi="仿宋_GB2312" w:eastAsia="仿宋_GB2312"/>
          <w:sz w:val="32"/>
          <w:lang w:bidi="ar"/>
        </w:rPr>
        <w:t>。按支出经济分类分析，工资福利支出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29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4.3</w:t>
      </w:r>
      <w:r>
        <w:rPr>
          <w:rFonts w:hint="eastAsia" w:ascii="仿宋_GB2312" w:hAnsi="仿宋_GB2312" w:eastAsia="仿宋_GB2312"/>
          <w:sz w:val="32"/>
          <w:lang w:bidi="ar"/>
        </w:rPr>
        <w:t>万元，占财政拨款支出的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5.1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9</w:t>
      </w:r>
      <w:r>
        <w:rPr>
          <w:rFonts w:eastAsia="Times New Roman"/>
          <w:sz w:val="32"/>
          <w:lang w:bidi="ar"/>
        </w:rPr>
        <w:t>%</w:t>
      </w:r>
      <w:r>
        <w:rPr>
          <w:rFonts w:hint="eastAsia" w:ascii="仿宋_GB2312" w:hAnsi="仿宋_GB2312" w:eastAsia="仿宋_GB2312"/>
          <w:sz w:val="32"/>
          <w:lang w:bidi="ar"/>
        </w:rPr>
        <w:t>；</w:t>
      </w:r>
    </w:p>
    <w:p w14:paraId="46E60F19">
      <w:pPr>
        <w:snapToGrid w:val="0"/>
        <w:spacing w:line="520" w:lineRule="exact"/>
        <w:rPr>
          <w:rFonts w:hint="eastAsia" w:ascii="楷体_GB2312" w:eastAsia="宋体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/>
          <w:sz w:val="32"/>
          <w:lang w:bidi="ar"/>
        </w:rPr>
        <w:t>商品和服务支出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79.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65</w:t>
      </w:r>
      <w:r>
        <w:rPr>
          <w:rFonts w:hint="eastAsia" w:ascii="仿宋_GB2312" w:hAnsi="仿宋_GB2312" w:eastAsia="仿宋_GB2312"/>
          <w:sz w:val="32"/>
          <w:lang w:bidi="ar"/>
        </w:rPr>
        <w:t>万元，占财政拨款支出的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1.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40</w:t>
      </w:r>
      <w:r>
        <w:rPr>
          <w:rFonts w:eastAsia="Times New Roman"/>
          <w:sz w:val="32"/>
          <w:lang w:bidi="ar"/>
        </w:rPr>
        <w:t>%</w:t>
      </w:r>
      <w:r>
        <w:rPr>
          <w:rFonts w:hint="eastAsia" w:ascii="仿宋_GB2312" w:hAnsi="仿宋_GB2312" w:eastAsia="仿宋_GB2312"/>
          <w:sz w:val="32"/>
          <w:lang w:bidi="ar"/>
        </w:rPr>
        <w:t>；对个人和家庭的补助支出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5301.56</w:t>
      </w:r>
      <w:r>
        <w:rPr>
          <w:rFonts w:hint="eastAsia" w:ascii="仿宋_GB2312" w:hAnsi="仿宋_GB2312" w:eastAsia="仿宋_GB2312"/>
          <w:sz w:val="32"/>
          <w:lang w:bidi="ar"/>
        </w:rPr>
        <w:t>万元，占财政拨款支出的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93.4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</w:t>
      </w:r>
      <w:r>
        <w:rPr>
          <w:rFonts w:eastAsia="Times New Roman"/>
          <w:sz w:val="32"/>
          <w:lang w:bidi="ar"/>
        </w:rPr>
        <w:t>%</w:t>
      </w:r>
      <w:r>
        <w:rPr>
          <w:rFonts w:hint="eastAsia" w:eastAsia="宋体"/>
          <w:sz w:val="32"/>
          <w:lang w:eastAsia="zh-CN" w:bidi="ar"/>
        </w:rPr>
        <w:t>。</w:t>
      </w:r>
    </w:p>
    <w:p w14:paraId="160BF71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（二）部门预算执行情况</w:t>
      </w:r>
    </w:p>
    <w:p w14:paraId="5D99BDE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1.基本支出情况</w:t>
      </w:r>
    </w:p>
    <w:p w14:paraId="2C3D324D">
      <w:pPr>
        <w:snapToGrid w:val="0"/>
        <w:spacing w:line="520" w:lineRule="exact"/>
        <w:ind w:firstLine="632" w:firstLineChars="200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年度财政拨款基本支出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387万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元，其中：人员经费3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23.45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83.58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%,主要包括基本工资、津贴补贴、奖金、伙食补助费、机关事业单位基本养老保险缴费、职工基本医疗保险缴费、其他社会保障缴费、住房公积金、其他工资福利支出、离休费、抚恤金、生活补助、奖励金、其他对个人和家庭的补助等；公用经费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63.55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16.42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%，主要包括办公费、印刷费、咨询费、水费、电费、差旅费、工会经费、其他商品和服务支出、办公设备购置等。</w:t>
      </w:r>
    </w:p>
    <w:p w14:paraId="630933A7">
      <w:pPr>
        <w:snapToGrid w:val="0"/>
        <w:spacing w:line="520" w:lineRule="exact"/>
        <w:ind w:firstLine="632" w:firstLineChars="200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“三公”经费财政拨款支出预算为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1.24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1.24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万元，完成预算的100%，其中：</w:t>
      </w:r>
    </w:p>
    <w:p w14:paraId="700342E5">
      <w:pPr>
        <w:snapToGrid w:val="0"/>
        <w:spacing w:line="520" w:lineRule="exact"/>
        <w:ind w:firstLine="632" w:firstLineChars="200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因公出国（境）费支出预算为0万元，支出决算为0万元，完成预算的0%，</w:t>
      </w:r>
    </w:p>
    <w:p w14:paraId="6DA87FC1">
      <w:pPr>
        <w:snapToGrid w:val="0"/>
        <w:spacing w:line="520" w:lineRule="exact"/>
        <w:ind w:firstLine="632" w:firstLineChars="200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公务接待费支出预算为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1.24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1.24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万元，完成预算的100%。与上年数据相比，公务接待与上年相比，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73.08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%，原因：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加强公务接待管理，严格控制相关费用。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公务用车购置费及运行维护费支出预算为0元，支出决算为0元，车辆均为租赁车辆，其车辆所属为公车办，日常用车由公车办平台统一派车，计入其他交通费用中。</w:t>
      </w:r>
    </w:p>
    <w:p w14:paraId="4709D24C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项目支出情况</w:t>
      </w:r>
    </w:p>
    <w:p w14:paraId="5877F88D">
      <w:pPr>
        <w:snapToGrid w:val="0"/>
        <w:spacing w:line="520" w:lineRule="exact"/>
        <w:ind w:firstLine="632" w:firstLineChars="200"/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专项资金为上级资金和本级财政资金。实际收入按实际支出入账，2023年项目支出的决算数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5288.5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</w:rPr>
        <w:t>组织对“上级专项”“本级配置”2部分项目开展了部门评价，涉及一般公共预算支出5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/>
        </w:rPr>
        <w:t>288.5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</w:rPr>
        <w:t>万元，政府性基金预算支出0万元，国有资本经营预算支出0 万元。从评价情况来看，完成了年度预期目标。其中上级专项包含1）</w:t>
      </w:r>
      <w:r>
        <w:rPr>
          <w:rFonts w:ascii="仿宋_GB2312" w:hAnsi="仿宋_GB2312" w:eastAsia="仿宋_GB2312" w:cs="仿宋_GB2312"/>
          <w:spacing w:val="-2"/>
          <w:kern w:val="2"/>
          <w:sz w:val="32"/>
          <w:szCs w:val="32"/>
        </w:rPr>
        <w:t>退役安置补助（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</w:rPr>
        <w:t>军休人员生活补助、自主就业退役士兵教育培训、义务兵家庭优待金、自主就业退役士兵一次性经济补助等相关退役安置工作</w:t>
      </w:r>
      <w:r>
        <w:rPr>
          <w:rFonts w:ascii="仿宋_GB2312" w:hAnsi="仿宋_GB2312" w:eastAsia="仿宋_GB2312" w:cs="仿宋_GB2312"/>
          <w:spacing w:val="-2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</w:rPr>
        <w:t>；2）</w:t>
      </w:r>
      <w:r>
        <w:rPr>
          <w:rFonts w:ascii="仿宋_GB2312" w:hAnsi="仿宋_GB2312" w:eastAsia="仿宋_GB2312" w:cs="仿宋_GB2312"/>
          <w:spacing w:val="-2"/>
          <w:kern w:val="2"/>
          <w:sz w:val="32"/>
          <w:szCs w:val="32"/>
        </w:rPr>
        <w:t>优抚对象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</w:rPr>
        <w:t>抚恤</w:t>
      </w:r>
      <w:r>
        <w:rPr>
          <w:rFonts w:ascii="仿宋_GB2312" w:hAnsi="仿宋_GB2312" w:eastAsia="仿宋_GB2312" w:cs="仿宋_GB2312"/>
          <w:spacing w:val="-2"/>
          <w:kern w:val="2"/>
          <w:sz w:val="32"/>
          <w:szCs w:val="32"/>
        </w:rPr>
        <w:t>补助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</w:rPr>
        <w:t>（含60岁及以上农村籍士兵生活补助、复双及退双生活补助、伤残军人生活补助、参战参试生活补助、三属、烈士、优抚对象死亡抚恤及其他）；3）</w:t>
      </w:r>
      <w:r>
        <w:rPr>
          <w:rFonts w:ascii="仿宋_GB2312" w:hAnsi="仿宋_GB2312" w:eastAsia="仿宋_GB2312" w:cs="仿宋_GB2312"/>
          <w:spacing w:val="-2"/>
          <w:kern w:val="2"/>
          <w:sz w:val="32"/>
          <w:szCs w:val="32"/>
        </w:rPr>
        <w:t>优抚对象医疗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</w:rPr>
        <w:t>补助；4）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eastAsia="zh-CN"/>
        </w:rPr>
        <w:t>优抚对象困难救助等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</w:rPr>
        <w:t>；</w:t>
      </w:r>
    </w:p>
    <w:p w14:paraId="26AAE442">
      <w:pPr>
        <w:pStyle w:val="6"/>
        <w:widowControl/>
        <w:spacing w:line="560" w:lineRule="exact"/>
        <w:ind w:firstLine="632" w:firstLineChars="200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</w:rPr>
        <w:t>本级配置包含1）走访慰问；2）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/>
        </w:rPr>
        <w:t>1-6级残军医保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</w:rPr>
        <w:t>；3）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eastAsia="zh-CN"/>
        </w:rPr>
        <w:t>退役安置支出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</w:rPr>
        <w:t>；4）优抚对象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eastAsia="zh-CN"/>
        </w:rPr>
        <w:t>抚恤补助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</w:rPr>
        <w:t>；5）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/>
        </w:rPr>
        <w:t>8384人员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</w:rPr>
        <w:t>补贴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/>
        </w:rPr>
        <w:t>6）困难救助；7）义务兵优待金等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</w:rPr>
        <w:t>项目的实施是为了执行党和国家关于退役军人思想政治、管理保障和优抚安置等工作政策法规；做好全县军队转业干部、自主择业军队干部、复员军人、军休干部、退役士兵和无军籍退休退职职工和军烈属的服务保障工作；组织指导全县退役军人就业教育培训，扶持退役军人和随军、随调家属就业创业工作。做好拥军优属、优抚及烈士褒扬工作等。</w:t>
      </w:r>
    </w:p>
    <w:p w14:paraId="6413ECB9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"三公"经费使用和管理情况</w:t>
      </w:r>
    </w:p>
    <w:p w14:paraId="4D0602F4">
      <w:pPr>
        <w:snapToGrid w:val="0"/>
        <w:spacing w:beforeAutospacing="0" w:afterAutospacing="0" w:line="520" w:lineRule="exact"/>
        <w:ind w:left="0" w:leftChars="0" w:firstLine="640" w:firstLineChars="200"/>
        <w:rPr>
          <w:rFonts w:hint="eastAsia" w:asci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1)支出情况</w:t>
      </w:r>
    </w:p>
    <w:p w14:paraId="7837B5ED">
      <w:pPr>
        <w:snapToGrid w:val="0"/>
        <w:spacing w:beforeAutospacing="0" w:afterAutospacing="0" w:line="520" w:lineRule="exact"/>
        <w:ind w:left="0" w:leftChars="0" w:firstLine="640" w:firstLineChars="200"/>
        <w:rPr>
          <w:rFonts w:hint="eastAsia" w:ascii="仿宋_GB2312" w:hAnsi="仿宋_GB2312" w:eastAsia="仿宋_GB2312"/>
          <w:sz w:val="32"/>
          <w:lang w:bidi="ar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沅陵县退役军人事务局</w:t>
      </w:r>
      <w:r>
        <w:rPr>
          <w:rFonts w:hint="eastAsia" w:ascii="仿宋_GB2312" w:hAnsi="仿宋_GB2312" w:eastAsia="仿宋_GB2312"/>
          <w:sz w:val="32"/>
          <w:lang w:bidi="ar"/>
        </w:rPr>
        <w:t>2024年度“三公”经费财政拨款支出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1.24</w:t>
      </w:r>
      <w:r>
        <w:rPr>
          <w:rFonts w:hint="eastAsia" w:ascii="仿宋_GB2312" w:hAnsi="仿宋_GB2312" w:eastAsia="仿宋_GB2312"/>
          <w:sz w:val="32"/>
          <w:lang w:bidi="ar"/>
        </w:rPr>
        <w:t>万元，其中：因公出国（境）支出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0.00</w:t>
      </w:r>
      <w:r>
        <w:rPr>
          <w:rFonts w:hint="eastAsia" w:ascii="仿宋_GB2312" w:hAnsi="仿宋_GB2312" w:eastAsia="仿宋_GB2312"/>
          <w:sz w:val="32"/>
          <w:lang w:bidi="ar"/>
        </w:rPr>
        <w:t>万元，公务用车购置及运行维护费支出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0.00</w:t>
      </w:r>
      <w:r>
        <w:rPr>
          <w:rFonts w:hint="eastAsia" w:ascii="仿宋_GB2312" w:hAnsi="仿宋_GB2312" w:eastAsia="仿宋_GB2312"/>
          <w:sz w:val="32"/>
          <w:lang w:bidi="ar"/>
        </w:rPr>
        <w:t>万元，公务接待费支出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1.24</w:t>
      </w:r>
      <w:r>
        <w:rPr>
          <w:rFonts w:hint="eastAsia" w:ascii="仿宋_GB2312" w:hAnsi="仿宋_GB2312" w:eastAsia="仿宋_GB2312"/>
          <w:sz w:val="32"/>
          <w:lang w:bidi="ar"/>
        </w:rPr>
        <w:t>万元。</w:t>
      </w:r>
    </w:p>
    <w:p w14:paraId="0693CA37">
      <w:pPr>
        <w:snapToGrid w:val="0"/>
        <w:spacing w:beforeAutospacing="0" w:afterAutospacing="0" w:line="520" w:lineRule="exact"/>
        <w:ind w:left="0" w:leftChars="0" w:firstLine="640" w:firstLineChars="200"/>
        <w:rPr>
          <w:rFonts w:hint="eastAsia" w:ascii="仿宋_GB2312" w:hAnsi="仿宋_GB2312" w:eastAsia="仿宋_GB2312"/>
          <w:sz w:val="32"/>
          <w:lang w:bidi="ar"/>
        </w:rPr>
      </w:pPr>
      <w:r>
        <w:rPr>
          <w:rFonts w:hint="eastAsia" w:ascii="仿宋_GB2312" w:hAnsi="仿宋_GB2312" w:eastAsia="仿宋_GB2312"/>
          <w:sz w:val="32"/>
          <w:lang w:bidi="ar"/>
        </w:rPr>
        <w:t>2）预决算对比情况</w:t>
      </w:r>
    </w:p>
    <w:p w14:paraId="43E26D16">
      <w:pPr>
        <w:autoSpaceDE w:val="0"/>
        <w:autoSpaceDN w:val="0"/>
        <w:adjustRightInd w:val="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2024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sz w:val="32"/>
          <w:lang w:bidi="ar"/>
        </w:rPr>
        <w:t>“三公”经费财政拨款支出决算数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为1.24</w:t>
      </w:r>
      <w:r>
        <w:rPr>
          <w:rFonts w:hint="eastAsia" w:cs="仿宋_GB2312"/>
          <w:sz w:val="32"/>
          <w:szCs w:val="32"/>
          <w:lang w:bidi="ar-SA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，与2023年预算相比，减少</w:t>
      </w:r>
      <w:r>
        <w:rPr>
          <w:rFonts w:hint="eastAsia" w:ascii="仿宋_GB2312" w:hAnsi="仿宋_GB2312" w:eastAsia="仿宋_GB2312" w:cs="仿宋_GB2312"/>
          <w:sz w:val="32"/>
          <w:lang w:bidi="ar"/>
        </w:rPr>
        <w:t>公务接待费支出，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减少3.38万元。</w:t>
      </w:r>
    </w:p>
    <w:p w14:paraId="5A2D027C">
      <w:pPr>
        <w:widowControl/>
        <w:snapToGrid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lang w:bidi="ar"/>
        </w:rPr>
      </w:pPr>
      <w:r>
        <w:rPr>
          <w:rFonts w:hint="eastAsia" w:ascii="仿宋_GB2312" w:hAnsi="仿宋_GB2312" w:eastAsia="仿宋_GB2312"/>
          <w:sz w:val="32"/>
          <w:lang w:bidi="ar"/>
        </w:rPr>
        <w:t>3）上下年对比情况</w:t>
      </w:r>
    </w:p>
    <w:p w14:paraId="2485D073">
      <w:pPr>
        <w:autoSpaceDE w:val="0"/>
        <w:autoSpaceDN w:val="0"/>
        <w:adjustRightInd w:val="0"/>
        <w:spacing w:line="600" w:lineRule="exact"/>
        <w:ind w:firstLine="640"/>
        <w:jc w:val="left"/>
        <w:rPr>
          <w:rFonts w:eastAsia="Times New Roman"/>
          <w:sz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2024年度</w:t>
      </w:r>
      <w:r>
        <w:rPr>
          <w:rFonts w:hint="eastAsia" w:ascii="仿宋_GB2312" w:hAnsi="仿宋_GB2312" w:eastAsia="仿宋_GB2312" w:cs="仿宋_GB2312"/>
          <w:sz w:val="32"/>
          <w:lang w:bidi="ar"/>
        </w:rPr>
        <w:t>“三公”经费财政拨款支出决算数为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1.24万元。与2022年度相比，减少21542万元，下降63.40%。</w:t>
      </w:r>
    </w:p>
    <w:p w14:paraId="19D90A5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2024年度</w:t>
      </w:r>
      <w:r>
        <w:rPr>
          <w:rFonts w:hint="eastAsia" w:ascii="仿宋_GB2312" w:hAnsi="仿宋_GB2312" w:eastAsia="仿宋_GB2312" w:cs="仿宋_GB2312"/>
          <w:sz w:val="32"/>
          <w:lang w:bidi="ar"/>
        </w:rPr>
        <w:t>公务用车运行维护费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与2023年度相比，减少3.38万元，下降73.08%。</w:t>
      </w:r>
      <w:r>
        <w:rPr>
          <w:rFonts w:hint="eastAsia" w:ascii="仿宋_GB2312" w:hAnsi="仿宋_GB2312" w:eastAsia="仿宋_GB2312"/>
          <w:sz w:val="32"/>
          <w:lang w:bidi="ar"/>
        </w:rPr>
        <w:t>主要原因是严格贯彻落实厉行节约反对浪费精神，加强公务接待管理，严格控制相关费用，支出相应减少。其中：</w:t>
      </w:r>
      <w:r>
        <w:rPr>
          <w:rFonts w:hint="eastAsia" w:ascii="仿宋_GB2312" w:hAnsi="仿宋_GB2312" w:eastAsia="仿宋_GB2312"/>
          <w:b/>
          <w:sz w:val="32"/>
          <w:lang w:bidi="ar"/>
        </w:rPr>
        <w:t>一是</w:t>
      </w:r>
      <w:r>
        <w:rPr>
          <w:rFonts w:hint="eastAsia" w:ascii="仿宋_GB2312" w:hAnsi="仿宋_GB2312" w:eastAsia="仿宋_GB2312"/>
          <w:sz w:val="32"/>
          <w:lang w:bidi="ar"/>
        </w:rPr>
        <w:t>国内接待费财政拨款支出决算数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1.24</w:t>
      </w:r>
      <w:r>
        <w:rPr>
          <w:rFonts w:hint="eastAsia" w:ascii="仿宋_GB2312" w:hAnsi="仿宋_GB2312" w:eastAsia="仿宋_GB2312"/>
          <w:sz w:val="32"/>
          <w:lang w:bidi="ar"/>
        </w:rPr>
        <w:t>万元，国内公务接待总计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5</w:t>
      </w:r>
      <w:r>
        <w:rPr>
          <w:rFonts w:hint="eastAsia" w:ascii="仿宋_GB2312" w:hAnsi="仿宋_GB2312" w:eastAsia="仿宋_GB2312"/>
          <w:sz w:val="32"/>
          <w:lang w:bidi="ar"/>
        </w:rPr>
        <w:t>批次、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120</w:t>
      </w:r>
      <w:r>
        <w:rPr>
          <w:rFonts w:hint="eastAsia" w:ascii="仿宋_GB2312" w:hAnsi="仿宋_GB2312" w:eastAsia="仿宋_GB2312"/>
          <w:sz w:val="32"/>
          <w:lang w:bidi="ar"/>
        </w:rPr>
        <w:t>人次，人均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103.67</w:t>
      </w:r>
      <w:r>
        <w:rPr>
          <w:rFonts w:hint="eastAsia" w:ascii="仿宋_GB2312" w:hAnsi="仿宋_GB2312" w:eastAsia="仿宋_GB2312"/>
          <w:sz w:val="32"/>
          <w:lang w:bidi="ar"/>
        </w:rPr>
        <w:t>元/次（其中：国内人员接待费财政拨款支出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1.24</w:t>
      </w:r>
      <w:r>
        <w:rPr>
          <w:rFonts w:hint="eastAsia" w:ascii="仿宋_GB2312" w:hAnsi="仿宋_GB2312" w:eastAsia="仿宋_GB2312"/>
          <w:sz w:val="32"/>
          <w:lang w:bidi="ar"/>
        </w:rPr>
        <w:t>万元，国内人员接待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5</w:t>
      </w:r>
      <w:r>
        <w:rPr>
          <w:rFonts w:hint="eastAsia" w:ascii="仿宋_GB2312" w:hAnsi="仿宋_GB2312" w:eastAsia="仿宋_GB2312"/>
          <w:sz w:val="32"/>
          <w:lang w:bidi="ar"/>
        </w:rPr>
        <w:t>批次、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120</w:t>
      </w:r>
      <w:r>
        <w:rPr>
          <w:rFonts w:hint="eastAsia" w:ascii="仿宋_GB2312" w:hAnsi="仿宋_GB2312" w:eastAsia="仿宋_GB2312"/>
          <w:sz w:val="32"/>
          <w:lang w:bidi="ar"/>
        </w:rPr>
        <w:t>人次，人均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103.67</w:t>
      </w:r>
      <w:r>
        <w:rPr>
          <w:rFonts w:hint="eastAsia" w:ascii="仿宋_GB2312" w:hAnsi="仿宋_GB2312" w:eastAsia="仿宋_GB2312"/>
          <w:sz w:val="32"/>
          <w:lang w:bidi="ar"/>
        </w:rPr>
        <w:t>元/次；外事接待费财政拨款支出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0.00</w:t>
      </w:r>
      <w:r>
        <w:rPr>
          <w:rFonts w:hint="eastAsia" w:ascii="仿宋_GB2312" w:hAnsi="仿宋_GB2312" w:eastAsia="仿宋_GB2312"/>
          <w:sz w:val="32"/>
          <w:lang w:bidi="ar"/>
        </w:rPr>
        <w:t>万元，外事接待0批次、0人次，人均0元/次）。</w:t>
      </w:r>
    </w:p>
    <w:p w14:paraId="0F0FDD5E"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政府性基金预算支出情况</w:t>
      </w:r>
    </w:p>
    <w:p w14:paraId="3480303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无</w:t>
      </w:r>
    </w:p>
    <w:p w14:paraId="069C89A3"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国有资本经营预算支出情况</w:t>
      </w:r>
    </w:p>
    <w:p w14:paraId="01D8549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无</w:t>
      </w:r>
    </w:p>
    <w:p w14:paraId="1E0A88D1"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社会保险基金预算支出情况</w:t>
      </w:r>
    </w:p>
    <w:p w14:paraId="0EDBC16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无</w:t>
      </w:r>
    </w:p>
    <w:p w14:paraId="28A4E1D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六、部门整体支出绩效情况</w:t>
      </w:r>
    </w:p>
    <w:p w14:paraId="52BED32B">
      <w:pPr>
        <w:pStyle w:val="6"/>
        <w:widowControl/>
        <w:spacing w:line="560" w:lineRule="exact"/>
        <w:ind w:firstLine="480" w:firstLineChars="15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</w:rPr>
        <w:t>年整体绩效自评分97分</w:t>
      </w:r>
      <w:r>
        <w:rPr>
          <w:rFonts w:hint="eastAsia" w:ascii="仿宋" w:hAnsi="仿宋" w:eastAsia="仿宋"/>
          <w:spacing w:val="-2"/>
          <w:kern w:val="2"/>
          <w:sz w:val="32"/>
          <w:szCs w:val="32"/>
        </w:rPr>
        <w:t>。</w:t>
      </w:r>
    </w:p>
    <w:p w14:paraId="64516BC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4757E6A9">
      <w:pPr>
        <w:shd w:val="clear" w:color="auto" w:fill="FFFFFF"/>
        <w:spacing w:line="560" w:lineRule="exact"/>
        <w:jc w:val="left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（二）评价指标分析（或综合评价情况）。</w:t>
      </w:r>
    </w:p>
    <w:p w14:paraId="37309A10">
      <w:pPr>
        <w:shd w:val="clear" w:color="auto" w:fill="FFFFFF"/>
        <w:spacing w:line="560" w:lineRule="exact"/>
        <w:ind w:firstLine="632" w:firstLineChars="200"/>
        <w:jc w:val="left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（1）经济性分析，202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年度决算收入总计5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675.5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万元；202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年度财政拨款支出总计5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675.5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万元。秉承成本（预算）控制原则，从政策出发结合实际，部门之间相互联动，按照时间节点完成任务。</w:t>
      </w:r>
    </w:p>
    <w:p w14:paraId="66AF824F">
      <w:pPr>
        <w:shd w:val="clear" w:color="auto" w:fill="FFFFFF"/>
        <w:spacing w:line="560" w:lineRule="exact"/>
        <w:ind w:firstLine="632" w:firstLineChars="200"/>
        <w:jc w:val="left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（2）效率性分析，截止202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年12月底。上级专项资金，根据我县实际，均已展开相应的配套措施，例如优抚对象抚恤补助、自主就业一次性经济补助、现役军人优待金等均按时按质发放到位。</w:t>
      </w:r>
    </w:p>
    <w:p w14:paraId="7A9FD886">
      <w:pPr>
        <w:shd w:val="clear" w:color="auto" w:fill="FFFFFF"/>
        <w:spacing w:line="560" w:lineRule="exact"/>
        <w:ind w:firstLine="632" w:firstLineChars="200"/>
        <w:jc w:val="left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（3）有效性分析，专项的展开是贯彻执行上级政策，满足其服务对象的诉求。例如，优抚对象抚恤补助，对其生活的补充起到有效作用；八一、春节慰问走访，对维护社会稳定，促进社会和谐起到有效作用。</w:t>
      </w:r>
    </w:p>
    <w:p w14:paraId="2F841E61">
      <w:pPr>
        <w:shd w:val="clear" w:color="auto" w:fill="FFFFFF"/>
        <w:spacing w:line="560" w:lineRule="exact"/>
        <w:ind w:firstLine="632" w:firstLineChars="200"/>
        <w:jc w:val="left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（4）可持续性分析，各项目的展开，维护了军人军属的合法权益，加强退役军人服务保障体系的建设，对褒扬彰显退役军人为党、国家和人民牺牲奉献的精神风范和价值导向有持续影响。</w:t>
      </w:r>
    </w:p>
    <w:p w14:paraId="2383F9C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七、存在的问题及原因分析</w:t>
      </w:r>
    </w:p>
    <w:p w14:paraId="03BE6896">
      <w:pPr>
        <w:shd w:val="clear" w:color="auto" w:fill="FFFFFF"/>
        <w:spacing w:line="560" w:lineRule="exact"/>
        <w:ind w:firstLine="632" w:firstLineChars="200"/>
        <w:jc w:val="left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1、上级指标下达不及时，导致绩效目标完成不达标</w:t>
      </w:r>
    </w:p>
    <w:p w14:paraId="7EC2FA54">
      <w:pPr>
        <w:shd w:val="clear" w:color="auto" w:fill="FFFFFF"/>
        <w:spacing w:line="560" w:lineRule="exact"/>
        <w:ind w:firstLine="632" w:firstLineChars="200"/>
        <w:jc w:val="left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2、本级项目配套不完善，导致工作开展有困难。例如：二级机构湘西剿匪纪念园，无专项工作经费，园区维护开展困难。</w:t>
      </w:r>
    </w:p>
    <w:p w14:paraId="36082582">
      <w:pPr>
        <w:pStyle w:val="6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下一步改进措施</w:t>
      </w:r>
    </w:p>
    <w:p w14:paraId="34BCAC6E">
      <w:pPr>
        <w:shd w:val="clear" w:color="auto" w:fill="FFFFFF"/>
        <w:spacing w:line="560" w:lineRule="exact"/>
        <w:ind w:firstLine="632" w:firstLineChars="200"/>
        <w:jc w:val="left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1、本级配置项目需根据实际情况更加优化。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例如：上级巡视项目军休人员的本级配套急需列入本级常规预算项目。</w:t>
      </w:r>
    </w:p>
    <w:p w14:paraId="106A32B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九、其他需要说明的情况</w:t>
      </w:r>
    </w:p>
    <w:p w14:paraId="4169648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</w:p>
    <w:p w14:paraId="672A0B1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F9A6E9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41DD8B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E219C1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499499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471C0B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A462FC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EB8C60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2EFE02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37DE2F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1A4CB1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80885D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039390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53BE88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A94AE38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E508285-6BF2-4DA9-B57D-FA7B6C0BC2A5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E0C4962-5E13-4C0D-B211-DEBBE5ABB47D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3" w:fontKey="{2379AD33-45EA-487D-9ADC-C51D7909861B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66F5B334-92D3-4599-A3B2-364CC38A4095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A7D9BF1F-577F-4216-8ED0-826EA32FD400}"/>
  </w:font>
  <w:font w:name="标准粗黑">
    <w:altName w:val="黑体"/>
    <w:panose1 w:val="02000503000000000000"/>
    <w:charset w:val="86"/>
    <w:family w:val="auto"/>
    <w:pitch w:val="default"/>
    <w:sig w:usb0="00000000" w:usb1="00000000" w:usb2="00000012" w:usb3="00000000" w:csb0="00040001" w:csb1="00000000"/>
    <w:embedRegular r:id="rId6" w:fontKey="{389F46CF-CB50-4945-B492-7E7F7E6E47BC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EEDA83FD-28F4-4237-B1D5-CB109C99B76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3657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9000C">
                          <w:pPr>
                            <w:pStyle w:val="4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9000C">
                    <w:pPr>
                      <w:pStyle w:val="4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F1D05"/>
    <w:multiLevelType w:val="singleLevel"/>
    <w:tmpl w:val="B7FF1D0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3CA31C"/>
    <w:multiLevelType w:val="singleLevel"/>
    <w:tmpl w:val="FD3CA31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FE64BBF"/>
    <w:multiLevelType w:val="singleLevel"/>
    <w:tmpl w:val="FFE64BB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BDE5F73"/>
    <w:multiLevelType w:val="singleLevel"/>
    <w:tmpl w:val="5BDE5F7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DF8935B"/>
    <w:multiLevelType w:val="singleLevel"/>
    <w:tmpl w:val="5DF8935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753C4E9B"/>
    <w:rsid w:val="02EB3279"/>
    <w:rsid w:val="05E95AA6"/>
    <w:rsid w:val="0C180A78"/>
    <w:rsid w:val="0CAF7D6D"/>
    <w:rsid w:val="0D276746"/>
    <w:rsid w:val="0D464D9C"/>
    <w:rsid w:val="0DD52794"/>
    <w:rsid w:val="0E956870"/>
    <w:rsid w:val="10C666A5"/>
    <w:rsid w:val="1223366A"/>
    <w:rsid w:val="143877FD"/>
    <w:rsid w:val="17C820DA"/>
    <w:rsid w:val="19E805B2"/>
    <w:rsid w:val="1FC24F0D"/>
    <w:rsid w:val="22FE234B"/>
    <w:rsid w:val="277E6F02"/>
    <w:rsid w:val="29990575"/>
    <w:rsid w:val="2AF6742D"/>
    <w:rsid w:val="2E833798"/>
    <w:rsid w:val="312A2265"/>
    <w:rsid w:val="34A44525"/>
    <w:rsid w:val="36FC0F5D"/>
    <w:rsid w:val="375773F8"/>
    <w:rsid w:val="38CC5315"/>
    <w:rsid w:val="393E32BB"/>
    <w:rsid w:val="419B2857"/>
    <w:rsid w:val="41D71DA8"/>
    <w:rsid w:val="45D249F5"/>
    <w:rsid w:val="4C6611ED"/>
    <w:rsid w:val="4DEF7A42"/>
    <w:rsid w:val="552A0475"/>
    <w:rsid w:val="578D10CB"/>
    <w:rsid w:val="5A5915AC"/>
    <w:rsid w:val="6A12486A"/>
    <w:rsid w:val="6FAF27B6"/>
    <w:rsid w:val="753C4E9B"/>
    <w:rsid w:val="75FFDA1B"/>
    <w:rsid w:val="77CA616D"/>
    <w:rsid w:val="781113A7"/>
    <w:rsid w:val="791E6510"/>
    <w:rsid w:val="79A63A67"/>
    <w:rsid w:val="7C8D4A41"/>
    <w:rsid w:val="7C9048DB"/>
    <w:rsid w:val="7ED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autoRedefine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10">
    <w:name w:val="标题1"/>
    <w:basedOn w:val="2"/>
    <w:autoRedefine/>
    <w:qFormat/>
    <w:uiPriority w:val="0"/>
    <w:rPr>
      <w:rFonts w:eastAsia="黑体"/>
    </w:rPr>
  </w:style>
  <w:style w:type="paragraph" w:customStyle="1" w:styleId="11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2618</Words>
  <Characters>2872</Characters>
  <Lines>0</Lines>
  <Paragraphs>0</Paragraphs>
  <TotalTime>2</TotalTime>
  <ScaleCrop>false</ScaleCrop>
  <LinksUpToDate>false</LinksUpToDate>
  <CharactersWithSpaces>2874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2024-02-22T10:03:00Z</dcterms:created>
  <dc:creator>1402836399</dc:creator>
  <cp:lastModifiedBy>Administrator</cp:lastModifiedBy>
  <cp:lastPrinted>2024-02-26T11:24:00Z</cp:lastPrinted>
  <dcterms:modified xsi:type="dcterms:W3CDTF">2025-10-28T01:09:38Z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A6548595657F491C987D40A2A96E23CA_13</vt:lpwstr>
  </property>
  <property fmtid="{D5CDD505-2E9C-101B-9397-08002B2CF9AE}" pid="4" name="KSOTemplateDocerSaveRecord">
    <vt:lpwstr>eyJoZGlkIjoiNWEyODA0MGMwYTkzODZkMmRiMmNiZmI1NDc3YTNmNDIiLCJ1c2VySWQiOiI0MTkwMjIxODkifQ==</vt:lpwstr>
  </property>
</Properties>
</file>