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rPr>
      </w:pPr>
      <w:r>
        <w:rPr>
          <w:rFonts w:hint="eastAsia" w:ascii="仿宋" w:hAnsi="仿宋" w:eastAsia="仿宋" w:cs="仿宋"/>
          <w:sz w:val="21"/>
          <w:szCs w:val="21"/>
          <w:lang w:eastAsia="zh-CN"/>
        </w:rPr>
        <w:t>附件</w:t>
      </w:r>
      <w:r>
        <w:rPr>
          <w:rFonts w:hint="eastAsia" w:ascii="仿宋" w:hAnsi="仿宋" w:eastAsia="仿宋" w:cs="仿宋"/>
          <w:sz w:val="21"/>
          <w:szCs w:val="21"/>
          <w:lang w:val="en-US" w:eastAsia="zh-CN"/>
        </w:rPr>
        <w:t>1</w:t>
      </w:r>
    </w:p>
    <w:p>
      <w:pPr>
        <w:keepNext w:val="0"/>
        <w:keepLines w:val="0"/>
        <w:widowControl/>
        <w:suppressLineNumbers w:val="0"/>
        <w:spacing w:beforeAutospacing="0" w:after="0" w:afterAutospacing="0" w:line="240" w:lineRule="auto"/>
        <w:ind w:left="0" w:right="0"/>
        <w:jc w:val="center"/>
        <w:rPr>
          <w:sz w:val="32"/>
          <w:szCs w:val="32"/>
        </w:rPr>
      </w:pPr>
      <w:bookmarkStart w:id="0" w:name="_GoBack"/>
      <w:r>
        <w:rPr>
          <w:rFonts w:hint="eastAsia" w:ascii="宋体" w:hAnsi="宋体" w:eastAsia="宋体" w:cs="宋体"/>
          <w:b/>
          <w:bCs/>
          <w:i w:val="0"/>
          <w:iCs w:val="0"/>
          <w:caps w:val="0"/>
          <w:color w:val="232323"/>
          <w:spacing w:val="0"/>
          <w:kern w:val="0"/>
          <w:sz w:val="32"/>
          <w:szCs w:val="32"/>
          <w:lang w:val="en-US" w:eastAsia="zh-CN" w:bidi="ar"/>
        </w:rPr>
        <w:t>沅陵县2025年基层农技人员培育机构遴选评审得分表</w:t>
      </w:r>
      <w:bookmarkEnd w:id="0"/>
    </w:p>
    <w:tbl>
      <w:tblPr>
        <w:tblStyle w:val="3"/>
        <w:tblW w:w="965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36"/>
        <w:gridCol w:w="1218"/>
        <w:gridCol w:w="6202"/>
        <w:gridCol w:w="788"/>
        <w:gridCol w:w="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497" w:hRule="atLeast"/>
          <w:jc w:val="center"/>
        </w:trPr>
        <w:tc>
          <w:tcPr>
            <w:tcW w:w="965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仿宋" w:hAnsi="仿宋" w:eastAsia="仿宋" w:cs="仿宋"/>
                <w:sz w:val="24"/>
                <w:szCs w:val="24"/>
              </w:rPr>
            </w:pPr>
            <w:r>
              <w:rPr>
                <w:rFonts w:hint="eastAsia" w:ascii="仿宋" w:hAnsi="仿宋" w:eastAsia="仿宋" w:cs="仿宋"/>
                <w:b/>
                <w:bCs/>
                <w:i w:val="0"/>
                <w:iCs w:val="0"/>
                <w:color w:val="000000"/>
                <w:kern w:val="0"/>
                <w:sz w:val="24"/>
                <w:szCs w:val="24"/>
                <w:lang w:val="en-US" w:eastAsia="zh-CN" w:bidi="ar"/>
              </w:rPr>
              <w:t>遴选单位名称：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17" w:hRule="atLeast"/>
          <w:jc w:val="center"/>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序号</w:t>
            </w:r>
          </w:p>
        </w:tc>
        <w:tc>
          <w:tcPr>
            <w:tcW w:w="12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评审项目</w:t>
            </w:r>
          </w:p>
        </w:tc>
        <w:tc>
          <w:tcPr>
            <w:tcW w:w="62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b/>
                <w:bCs/>
                <w:i w:val="0"/>
                <w:iCs w:val="0"/>
                <w:color w:val="000000"/>
                <w:kern w:val="0"/>
                <w:sz w:val="24"/>
                <w:szCs w:val="24"/>
                <w:lang w:val="en-US" w:eastAsia="zh-CN" w:bidi="ar"/>
              </w:rPr>
              <w:t>评分标准</w:t>
            </w:r>
          </w:p>
        </w:tc>
        <w:tc>
          <w:tcPr>
            <w:tcW w:w="7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得分</w:t>
            </w:r>
          </w:p>
        </w:tc>
        <w:tc>
          <w:tcPr>
            <w:tcW w:w="8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88" w:hRule="atLeast"/>
          <w:jc w:val="center"/>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12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培训资质20分</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培训资质：具备独立法人资格、有农民培训资质（有办学许可或农业技术推广培训职能）记20分；农民培训资质内容含推广类的优先；具备培训资质, 但培训办学资质超过有效期的不记分。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45"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12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培训条件30分</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培训机构自有承担申报培训专业所必备的培训场所10分；无自有培训场所,须租用培训教室的8分。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9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rPr>
            </w:pPr>
          </w:p>
        </w:tc>
        <w:tc>
          <w:tcPr>
            <w:tcW w:w="12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rPr>
            </w:pP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培训机构有投影、电脑、无人机、直播带货设备等与申报培训专业相关的现代教学设施设备,并且齐全20分; 教学设施设备一般10分;教学设施设备较差的6分。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65"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12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培训经验20分</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组织教育培训,能按时完成培训任务且培训效果好,有丰富的农民教育培训经验的,记10分;没有承担过农技推广培育,但承担过其它部门组织的农业技能培训的记8分;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6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rPr>
            </w:pPr>
          </w:p>
        </w:tc>
        <w:tc>
          <w:tcPr>
            <w:tcW w:w="12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仿宋" w:hAnsi="仿宋" w:eastAsia="仿宋" w:cs="仿宋"/>
                <w:sz w:val="24"/>
                <w:szCs w:val="24"/>
              </w:rPr>
            </w:pP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培训机构有专门的组织管理人员,分工明确,有良好的学员组织管理能力记10分；组织管理人员少,分工不明确的记8分；没有组织管理人员的不记分。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09" w:hRule="atLeast"/>
          <w:jc w:val="center"/>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4</w:t>
            </w:r>
          </w:p>
        </w:tc>
        <w:tc>
          <w:tcPr>
            <w:tcW w:w="12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培训管理10分</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培训机构财务管理制度健全、财务管理规范,具有良好的商业信誉,没有不良的记录10分；培训机构有不良记录和不良商业信誉的不记分。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459" w:hRule="atLeast"/>
          <w:jc w:val="center"/>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5</w:t>
            </w:r>
          </w:p>
        </w:tc>
        <w:tc>
          <w:tcPr>
            <w:tcW w:w="12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培训能力10分</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具备申报培训专业培训相关专业教师(中级以上职称或职业技能等级)5人(含兼职)以上, 培训师资力量强10分;具备申报培训专业培训相关专业教师5人(含兼职),培训师资力量一般6分;具备申报培训专业培训相关专业教师5人(含兼职)以下,培训师资力量较弱3分。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2049" w:hRule="atLeast"/>
          <w:jc w:val="center"/>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2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6</w:t>
            </w:r>
          </w:p>
        </w:tc>
        <w:tc>
          <w:tcPr>
            <w:tcW w:w="12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加分项（最多10分)</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评选为乡村振兴人才培养优质校、省级示范培育机构的加10分</w:t>
            </w:r>
            <w:r>
              <w:rPr>
                <w:rFonts w:hint="eastAsia" w:ascii="仿宋" w:hAnsi="仿宋" w:eastAsia="仿宋" w:cs="仿宋"/>
                <w:caps w:val="0"/>
                <w:color w:val="333333"/>
                <w:spacing w:val="0"/>
                <w:kern w:val="0"/>
                <w:sz w:val="24"/>
                <w:szCs w:val="24"/>
                <w:shd w:val="clear" w:fill="FFFFFF"/>
                <w:lang w:val="en-US" w:eastAsia="zh-CN" w:bidi="ar"/>
              </w:rPr>
              <w:t>。</w:t>
            </w:r>
            <w:r>
              <w:rPr>
                <w:rFonts w:hint="eastAsia" w:ascii="仿宋" w:hAnsi="仿宋" w:eastAsia="仿宋" w:cs="仿宋"/>
                <w:kern w:val="0"/>
                <w:sz w:val="24"/>
                <w:szCs w:val="24"/>
                <w:lang w:val="en-US" w:eastAsia="zh-CN" w:bidi="ar"/>
              </w:rPr>
              <w:t>农民培训资质有技术推广职能的加7分</w:t>
            </w:r>
            <w:r>
              <w:rPr>
                <w:rFonts w:hint="eastAsia" w:ascii="仿宋" w:hAnsi="仿宋" w:eastAsia="仿宋" w:cs="仿宋"/>
                <w:caps w:val="0"/>
                <w:color w:val="333333"/>
                <w:spacing w:val="0"/>
                <w:kern w:val="0"/>
                <w:sz w:val="24"/>
                <w:szCs w:val="24"/>
                <w:shd w:val="clear" w:fill="FFFFFF"/>
                <w:lang w:val="en-US" w:eastAsia="zh-CN" w:bidi="ar"/>
              </w:rPr>
              <w:t>。</w:t>
            </w:r>
            <w:r>
              <w:rPr>
                <w:rFonts w:hint="eastAsia" w:ascii="仿宋" w:hAnsi="仿宋" w:eastAsia="仿宋" w:cs="仿宋"/>
                <w:kern w:val="0"/>
                <w:sz w:val="24"/>
                <w:szCs w:val="24"/>
                <w:lang w:val="en-US" w:eastAsia="zh-CN" w:bidi="ar"/>
              </w:rPr>
              <w:t>优先被市级和市级以上相关部门评为优秀职业培训学校和农民教育培训优秀培训机构或先进单位（不能含协会）的加5分</w:t>
            </w:r>
            <w:r>
              <w:rPr>
                <w:rFonts w:hint="eastAsia" w:ascii="仿宋" w:hAnsi="仿宋" w:eastAsia="仿宋" w:cs="仿宋"/>
                <w:caps w:val="0"/>
                <w:color w:val="333333"/>
                <w:spacing w:val="0"/>
                <w:kern w:val="0"/>
                <w:sz w:val="24"/>
                <w:szCs w:val="24"/>
                <w:shd w:val="clear" w:fill="FFFFFF"/>
                <w:lang w:val="en-US" w:eastAsia="zh-CN" w:bidi="ar"/>
              </w:rPr>
              <w:t>。</w:t>
            </w:r>
            <w:r>
              <w:rPr>
                <w:rFonts w:hint="eastAsia" w:ascii="仿宋" w:hAnsi="仿宋" w:eastAsia="仿宋" w:cs="仿宋"/>
                <w:kern w:val="0"/>
                <w:sz w:val="24"/>
                <w:szCs w:val="24"/>
                <w:lang w:val="en-US" w:eastAsia="zh-CN" w:bidi="ar"/>
              </w:rPr>
              <w:t>优先被县级和县级以上相关部门评为优秀职业培训学校和农民教育培训优秀培训机构或先进单位（不能含协会）的加3分</w:t>
            </w:r>
            <w:r>
              <w:rPr>
                <w:rFonts w:hint="eastAsia" w:ascii="仿宋" w:hAnsi="仿宋" w:eastAsia="仿宋" w:cs="仿宋"/>
                <w:caps w:val="0"/>
                <w:color w:val="333333"/>
                <w:spacing w:val="0"/>
                <w:kern w:val="0"/>
                <w:sz w:val="24"/>
                <w:szCs w:val="24"/>
                <w:shd w:val="clear" w:fill="FFFFFF"/>
                <w:lang w:val="en-US" w:eastAsia="zh-CN" w:bidi="ar"/>
              </w:rPr>
              <w:t>。</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199" w:hRule="atLeast"/>
          <w:jc w:val="center"/>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24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7</w:t>
            </w:r>
          </w:p>
        </w:tc>
        <w:tc>
          <w:tcPr>
            <w:tcW w:w="12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一票否决项</w:t>
            </w:r>
          </w:p>
        </w:tc>
        <w:tc>
          <w:tcPr>
            <w:tcW w:w="62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本年度受到行政处罚的培育机构，给予一票否决,不允许承担培育任务;不具备申报培训专业所需的培训资质的不得承担相关专业培训任务。</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894" w:hRule="atLeast"/>
          <w:jc w:val="center"/>
        </w:trPr>
        <w:tc>
          <w:tcPr>
            <w:tcW w:w="8056"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合计得分</w:t>
            </w:r>
          </w:p>
        </w:tc>
        <w:tc>
          <w:tcPr>
            <w:tcW w:w="7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8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bl>
    <w:p>
      <w:pPr>
        <w:keepNext w:val="0"/>
        <w:keepLines w:val="0"/>
        <w:widowControl/>
        <w:suppressLineNumbers w:val="0"/>
        <w:spacing w:beforeAutospacing="0" w:after="0" w:afterAutospacing="0" w:line="240" w:lineRule="auto"/>
        <w:ind w:left="0" w:right="0"/>
        <w:jc w:val="center"/>
        <w:rPr>
          <w:rFonts w:hint="eastAsia" w:ascii="宋体" w:hAnsi="宋体" w:eastAsia="宋体" w:cs="宋体"/>
          <w:b/>
          <w:bCs/>
          <w:i w:val="0"/>
          <w:iCs w:val="0"/>
          <w:caps w:val="0"/>
          <w:color w:val="232323"/>
          <w:spacing w:val="0"/>
          <w:kern w:val="0"/>
          <w:sz w:val="32"/>
          <w:szCs w:val="3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1D76"/>
    <w:rsid w:val="7D23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2025-11-24T03:30:00Z</dcterms:created>
  <dc:creator>I</dc:creator>
  <cp:lastModifiedBy>I</cp:lastModifiedBy>
  <dcterms:modified xsi:type="dcterms:W3CDTF">2025-11-24T06:59:27Z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