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E1BC">
      <w:pPr>
        <w:pStyle w:val="2"/>
        <w:jc w:val="left"/>
        <w:rPr>
          <w:rFonts w:ascii="方正公文小标宋" w:eastAsia="方正公文小标宋"/>
          <w:b w:val="0"/>
          <w:sz w:val="84"/>
          <w:szCs w:val="84"/>
          <w:lang w:eastAsia="zh-CN"/>
        </w:rPr>
      </w:pPr>
    </w:p>
    <w:p w14:paraId="6EA82B1E">
      <w:pPr>
        <w:pStyle w:val="2"/>
        <w:jc w:val="left"/>
        <w:rPr>
          <w:rFonts w:ascii="方正公文小标宋" w:eastAsia="方正公文小标宋"/>
          <w:b w:val="0"/>
          <w:sz w:val="84"/>
          <w:szCs w:val="84"/>
          <w:lang w:eastAsia="zh-CN"/>
        </w:rPr>
      </w:pPr>
    </w:p>
    <w:p w14:paraId="02D8072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湖南省怀化市沅陵县清浪乡</w:t>
      </w:r>
    </w:p>
    <w:p w14:paraId="20A8669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CD1AD4F">
      <w:pPr>
        <w:rPr>
          <w:rFonts w:ascii="方正公文小标宋" w:eastAsia="方正公文小标宋"/>
          <w:sz w:val="84"/>
          <w:szCs w:val="84"/>
          <w:lang w:eastAsia="zh-CN"/>
        </w:rPr>
      </w:pPr>
    </w:p>
    <w:p w14:paraId="21D87305">
      <w:pPr>
        <w:rPr>
          <w:rFonts w:ascii="方正公文小标宋" w:eastAsia="方正公文小标宋"/>
          <w:sz w:val="84"/>
          <w:szCs w:val="84"/>
          <w:lang w:eastAsia="zh-CN"/>
        </w:rPr>
      </w:pPr>
    </w:p>
    <w:p w14:paraId="702347A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u w:val="none"/>
          <w:lang w:val="zh-CN" w:eastAsia="en-US"/>
        </w:rPr>
      </w:sdtEndPr>
      <w:sdtContent>
        <w:p w14:paraId="057E3E2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900CE31">
          <w:pPr>
            <w:rPr>
              <w:rFonts w:eastAsiaTheme="minorEastAsia"/>
              <w:lang w:val="zh-CN" w:eastAsia="zh-CN"/>
            </w:rPr>
          </w:pPr>
        </w:p>
        <w:p w14:paraId="2AAA320C">
          <w:pPr>
            <w:pStyle w:val="7"/>
            <w:tabs>
              <w:tab w:val="right" w:pos="13991"/>
            </w:tabs>
            <w:rPr>
              <w:rFonts w:cs="Times New Roman" w:eastAsiaTheme="minorEastAsia"/>
              <w:snapToGrid/>
              <w:color w:val="auto"/>
              <w:kern w:val="2"/>
              <w:sz w:val="21"/>
              <w:szCs w:val="22"/>
              <w:lang w:eastAsia="zh-CN"/>
            </w:rPr>
          </w:pPr>
          <w:r>
            <w:rPr>
              <w:rFonts w:cs="Times New Roman"/>
              <w:color w:val="auto"/>
              <w:szCs w:val="32"/>
            </w:rPr>
            <w:fldChar w:fldCharType="begin"/>
          </w:r>
          <w:r>
            <w:rPr>
              <w:rFonts w:cs="Times New Roman"/>
              <w:color w:val="auto"/>
              <w:szCs w:val="32"/>
            </w:rPr>
            <w:instrText xml:space="preserve"> TOC \o "1-3" \n \h \z \u </w:instrText>
          </w:r>
          <w:r>
            <w:rPr>
              <w:rFonts w:cs="Times New Roman"/>
              <w:color w:val="auto"/>
              <w:szCs w:val="32"/>
            </w:rPr>
            <w:fldChar w:fldCharType="separate"/>
          </w:r>
          <w:r>
            <w:rPr>
              <w:color w:val="auto"/>
            </w:rPr>
            <w:fldChar w:fldCharType="begin"/>
          </w:r>
          <w:r>
            <w:rPr>
              <w:color w:val="auto"/>
            </w:rPr>
            <w:instrText xml:space="preserve"> HYPERLINK \l "_Toc172533652" </w:instrText>
          </w:r>
          <w:r>
            <w:rPr>
              <w:color w:val="auto"/>
            </w:rPr>
            <w:fldChar w:fldCharType="separate"/>
          </w:r>
          <w:r>
            <w:rPr>
              <w:rStyle w:val="11"/>
              <w:rFonts w:eastAsia="方正公文小标宋" w:cs="Times New Roman"/>
              <w:color w:val="auto"/>
              <w:lang w:eastAsia="zh-CN"/>
            </w:rPr>
            <w:t>基本</w:t>
          </w:r>
          <w:r>
            <w:rPr>
              <w:rStyle w:val="11"/>
              <w:rFonts w:hint="eastAsia" w:eastAsia="方正公文小标宋" w:cs="Times New Roman"/>
              <w:color w:val="auto"/>
              <w:lang w:eastAsia="zh-CN"/>
            </w:rPr>
            <w:t>履职事项</w:t>
          </w:r>
          <w:r>
            <w:rPr>
              <w:rStyle w:val="11"/>
              <w:rFonts w:eastAsia="方正公文小标宋" w:cs="Times New Roman"/>
              <w:color w:val="auto"/>
              <w:lang w:eastAsia="zh-CN"/>
            </w:rPr>
            <w:t>清单</w:t>
          </w:r>
          <w:r>
            <w:rPr>
              <w:rStyle w:val="11"/>
              <w:rFonts w:eastAsia="方正公文小标宋" w:cs="Times New Roman"/>
              <w:color w:val="auto"/>
              <w:lang w:eastAsia="zh-CN"/>
            </w:rPr>
            <w:fldChar w:fldCharType="end"/>
          </w:r>
          <w:r>
            <w:rPr>
              <w:rStyle w:val="11"/>
              <w:rFonts w:hint="eastAsia" w:eastAsia="方正公文小标宋" w:cs="Times New Roman"/>
              <w:color w:val="auto"/>
              <w:lang w:val="en-US" w:eastAsia="zh-CN"/>
            </w:rPr>
            <w:t>.................................................................................................................................1-13</w:t>
          </w:r>
        </w:p>
        <w:p w14:paraId="66579996">
          <w:pPr>
            <w:pStyle w:val="7"/>
            <w:rPr>
              <w:rFonts w:cs="Times New Roman" w:eastAsiaTheme="minorEastAsia"/>
              <w:snapToGrid/>
              <w:color w:val="auto"/>
              <w:kern w:val="2"/>
              <w:sz w:val="21"/>
              <w:szCs w:val="22"/>
              <w:lang w:eastAsia="zh-CN"/>
            </w:rPr>
          </w:pPr>
          <w:r>
            <w:rPr>
              <w:color w:val="auto"/>
            </w:rPr>
            <w:fldChar w:fldCharType="begin"/>
          </w:r>
          <w:r>
            <w:rPr>
              <w:color w:val="auto"/>
            </w:rPr>
            <w:instrText xml:space="preserve"> HYPERLINK \l "_Toc172533653" </w:instrText>
          </w:r>
          <w:r>
            <w:rPr>
              <w:color w:val="auto"/>
            </w:rPr>
            <w:fldChar w:fldCharType="separate"/>
          </w:r>
          <w:r>
            <w:rPr>
              <w:rStyle w:val="11"/>
              <w:rFonts w:eastAsia="方正公文小标宋" w:cs="Times New Roman"/>
              <w:color w:val="auto"/>
              <w:lang w:eastAsia="zh-CN"/>
            </w:rPr>
            <w:t>配合</w:t>
          </w:r>
          <w:r>
            <w:rPr>
              <w:rStyle w:val="11"/>
              <w:rFonts w:hint="eastAsia" w:eastAsia="方正公文小标宋" w:cs="Times New Roman"/>
              <w:color w:val="auto"/>
              <w:lang w:eastAsia="zh-CN"/>
            </w:rPr>
            <w:t>履职事项</w:t>
          </w:r>
          <w:r>
            <w:rPr>
              <w:rStyle w:val="11"/>
              <w:rFonts w:eastAsia="方正公文小标宋" w:cs="Times New Roman"/>
              <w:color w:val="auto"/>
              <w:lang w:eastAsia="zh-CN"/>
            </w:rPr>
            <w:t>清单</w:t>
          </w:r>
          <w:r>
            <w:rPr>
              <w:rStyle w:val="11"/>
              <w:rFonts w:eastAsia="方正公文小标宋" w:cs="Times New Roman"/>
              <w:color w:val="auto"/>
              <w:lang w:eastAsia="zh-CN"/>
            </w:rPr>
            <w:fldChar w:fldCharType="end"/>
          </w:r>
          <w:r>
            <w:rPr>
              <w:rStyle w:val="11"/>
              <w:rFonts w:hint="eastAsia" w:eastAsia="方正公文小标宋" w:cs="Times New Roman"/>
              <w:color w:val="auto"/>
              <w:lang w:val="en-US" w:eastAsia="zh-CN"/>
            </w:rPr>
            <w:t>...............................................................................................................................14-51</w:t>
          </w:r>
        </w:p>
        <w:p w14:paraId="514E2758">
          <w:pPr>
            <w:pStyle w:val="7"/>
            <w:rPr>
              <w:rFonts w:cs="Times New Roman"/>
              <w:b/>
              <w:bCs/>
              <w:u w:val="none"/>
              <w:lang w:val="zh-CN"/>
            </w:rPr>
          </w:pPr>
          <w:r>
            <w:rPr>
              <w:color w:val="auto"/>
            </w:rPr>
            <w:fldChar w:fldCharType="begin"/>
          </w:r>
          <w:r>
            <w:rPr>
              <w:color w:val="auto"/>
            </w:rPr>
            <w:instrText xml:space="preserve"> HYPERLINK \l "_Toc172533654" </w:instrText>
          </w:r>
          <w:r>
            <w:rPr>
              <w:color w:val="auto"/>
            </w:rPr>
            <w:fldChar w:fldCharType="separate"/>
          </w:r>
          <w:r>
            <w:rPr>
              <w:rStyle w:val="11"/>
              <w:rFonts w:hint="eastAsia" w:eastAsia="方正公文小标宋" w:cs="Times New Roman"/>
              <w:color w:val="auto"/>
              <w:lang w:eastAsia="zh-CN"/>
            </w:rPr>
            <w:t>上级部门收回事项清单</w:t>
          </w:r>
          <w:r>
            <w:rPr>
              <w:rStyle w:val="11"/>
              <w:rFonts w:hint="eastAsia" w:eastAsia="方正公文小标宋" w:cs="Times New Roman"/>
              <w:color w:val="auto"/>
              <w:lang w:eastAsia="zh-CN"/>
            </w:rPr>
            <w:fldChar w:fldCharType="end"/>
          </w:r>
          <w:r>
            <w:rPr>
              <w:rFonts w:cs="Times New Roman"/>
              <w:color w:val="auto"/>
              <w:szCs w:val="32"/>
            </w:rPr>
            <w:fldChar w:fldCharType="end"/>
          </w:r>
          <w:r>
            <w:rPr>
              <w:rStyle w:val="11"/>
              <w:rFonts w:hint="eastAsia" w:eastAsia="方正公文小标宋" w:cs="Times New Roman"/>
              <w:color w:val="auto"/>
              <w:u w:val="none"/>
              <w:lang w:val="en-US" w:eastAsia="zh-CN"/>
            </w:rPr>
            <w:t>.......................................................................................................................52-71</w:t>
          </w:r>
        </w:p>
      </w:sdtContent>
    </w:sdt>
    <w:p w14:paraId="1F47C120">
      <w:pPr>
        <w:pStyle w:val="2"/>
        <w:jc w:val="both"/>
        <w:rPr>
          <w:rFonts w:ascii="Times New Roman" w:hAnsi="Times New Roman" w:eastAsia="方正小标宋_GBK" w:cs="Times New Roman"/>
          <w:color w:val="auto"/>
          <w:spacing w:val="7"/>
          <w:sz w:val="44"/>
          <w:szCs w:val="44"/>
          <w:lang w:eastAsia="zh-CN"/>
        </w:rPr>
      </w:pPr>
    </w:p>
    <w:p w14:paraId="3DAAAD9A">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C9F685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FBF799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EE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86D">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9BE7E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9E1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6B2D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0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38CD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D1EF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6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7D15C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8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188A9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9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4F9A1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2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544CE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6D386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8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7E262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5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432A1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C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EC9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加强对退休干部的思想教育和管理监督，开展困难退休干部的帮扶</w:t>
            </w:r>
            <w:r>
              <w:rPr>
                <w:rFonts w:hint="eastAsia" w:ascii="Times New Roman" w:hAnsi="方正公文仿宋" w:eastAsia="方正公文仿宋"/>
                <w:kern w:val="0"/>
                <w:szCs w:val="21"/>
                <w:lang w:eastAsia="zh-CN" w:bidi="ar"/>
              </w:rPr>
              <w:t>工作</w:t>
            </w:r>
          </w:p>
        </w:tc>
      </w:tr>
      <w:tr w14:paraId="1FBEE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39DCC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68F6A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8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3F89A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CBF2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1C392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E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54222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C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548C8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8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8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230AB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1FBD0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64E92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2AD9B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B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7F5EB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2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1A339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D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71AD6D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923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08C6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26C04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B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2A2D8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1AA09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E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67A2F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9855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01029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C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158C9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578EB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132EB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4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立足本地产业优势，发展蔬菜和小水果种植，提高乡村产业发展水平，推动经济高质量发展</w:t>
            </w:r>
          </w:p>
        </w:tc>
      </w:tr>
      <w:tr w14:paraId="2758C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”产业规划，统筹规划中药材（黄柏）种植，整合资源，拓展市场，引领经济创新增长</w:t>
            </w:r>
          </w:p>
        </w:tc>
      </w:tr>
      <w:tr w14:paraId="074DB7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0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57F7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8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165F1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w:t>
            </w:r>
            <w:bookmarkStart w:id="12" w:name="_GoBack"/>
            <w:bookmarkEnd w:id="12"/>
            <w:r>
              <w:rPr>
                <w:rFonts w:hint="eastAsia" w:ascii="Times New Roman" w:hAnsi="方正公文仿宋" w:eastAsia="方正公文仿宋"/>
                <w:kern w:val="0"/>
                <w:szCs w:val="21"/>
                <w:lang w:bidi="ar"/>
              </w:rPr>
              <w:t>帮助残疾人申请更换辅具等，协助开展残疾人康复就业，组织残疾人参加职业技能培训，做好公益助残等工作</w:t>
            </w:r>
          </w:p>
        </w:tc>
      </w:tr>
      <w:tr w14:paraId="422C0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4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18E7C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8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069D1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F8A3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74EB3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2F82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E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18153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886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005B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F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0731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AF1C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6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6EF6D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0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59749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DFF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2C92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3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12EC4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D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003D7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4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2566D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63C99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4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3270E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223FA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A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0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32614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E8B3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0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6AE31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62D89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113DC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3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732D1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C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7797C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63691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7D62B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乡村振兴有效衔接项目入库摸底、实地指导、资料审核、项目验收、资产移交及后续管理工作</w:t>
            </w:r>
          </w:p>
        </w:tc>
      </w:tr>
      <w:tr w14:paraId="0A500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6239C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46CB70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E3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64759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9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34B33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7B532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2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5873FB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03F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D0C1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9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4AB00C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67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0057C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13D6D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B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3FB68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8324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98D26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E7E7A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C86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A3F3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5E7225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B08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0E205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1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724D7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1E10F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4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3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5E4E3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B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4959B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9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28855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B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6E35B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87B67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4D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0B18B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0111C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5EB5D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42603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C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08A3B7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9E0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2C49A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C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6FA8D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5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7E2AB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E1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4CB5C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1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77A05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55385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E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234F2A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88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十四、交通运输（3项）</w:t>
            </w:r>
          </w:p>
        </w:tc>
      </w:tr>
      <w:tr w14:paraId="4414A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2F218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5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负责政府协议船安全管理及隐患排查</w:t>
            </w:r>
          </w:p>
        </w:tc>
      </w:tr>
      <w:tr w14:paraId="37DD4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39FCFB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D0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十五、文化和旅游（5项）</w:t>
            </w:r>
          </w:p>
        </w:tc>
      </w:tr>
      <w:tr w14:paraId="3DAE4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B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046CC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6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9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44867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B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42379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2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5AE31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宣传推介乡村旅游，挖掘本地文化内涵，设计和推广旅游IP形象，讲好本地文化旅游故事</w:t>
            </w:r>
          </w:p>
        </w:tc>
      </w:tr>
      <w:tr w14:paraId="758A7F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09F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1957A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5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4C6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C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F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2D518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209783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295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51E16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78CC4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B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6B6C4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6803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2D2582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492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1718D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2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1CCBFC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83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58C8E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4DF47D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173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0E42E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65824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2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10B7F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6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71D40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0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02CEB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04496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1582F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A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4E952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3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3A2214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A2E37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17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3AA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49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4D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A32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8AB86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E4F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49D5E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C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7608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E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7E51B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7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BF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EC8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E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1370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7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2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BFFA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5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CA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7B9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6145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0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76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4228E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7801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7058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B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420CF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0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2DB3E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C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0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12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87E38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4695F1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6C11A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1DBA7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C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6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6B807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2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3972A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43A6C0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E3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48990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CFF6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9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4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2DBFB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8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1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2777FE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B2E99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605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53E28F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0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2F730E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E41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A09B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1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9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4874C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7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38529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3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1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7788A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B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32887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6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8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0563F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D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2EAAD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2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0440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6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36FE0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6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2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03886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D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9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1567E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7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6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2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09E1D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C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F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2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2A9BE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E90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5629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E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D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798DA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07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5FF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A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3B732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D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C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3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066E0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F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0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6BDC9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0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C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EE1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377E1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1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CFF9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9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2672A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E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6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25773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8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F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4B232C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2C9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7765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6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1B410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B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D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CA6F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76EB1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E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2F65D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5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D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8AB6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D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5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7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00F15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0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AE32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9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D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86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6CA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07688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3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D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01C72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3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4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E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525CB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F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41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83D5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77721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D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4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00F451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2C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72FA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6C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3F0F7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0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6633A1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1B0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05150E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8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D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D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E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6A6D1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4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6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FC99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75B05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40E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4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4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4C687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1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D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016C0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21D8D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F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2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C20E9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337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2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78805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9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9C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288277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1997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2F2698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5D463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
</w:t>
            </w:r>
          </w:p>
          <w:p w14:paraId="4AFF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5B74FB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CA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312C5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7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C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D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354880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F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E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7B96A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C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5F7DE4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8B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20E3B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B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F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FE9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162EC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7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E5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D3173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B2F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68747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5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6B3FD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7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F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305C5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2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4D42B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8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5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464D7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F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A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7C4C2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3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DF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3E3B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1781ED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B97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D4C3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C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7C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6918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2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6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70ACA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F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30D6A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9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2232B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49DBE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1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49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AE5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F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24EEA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6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2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6145A0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6DD9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5C1E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44610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F6AF3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B9E1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67E56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B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B6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39507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2997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355F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6E15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3F563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E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6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F35E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788BBF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E1D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7F02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3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5BEAA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9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4.审议乡村庄规划和国土空间规划</w:t>
            </w:r>
          </w:p>
        </w:tc>
      </w:tr>
      <w:tr w14:paraId="02523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1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5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460D9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B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9A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350A7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F124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0D745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F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7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E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51316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3954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2BB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14738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9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748C7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7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A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w:t>
            </w:r>
            <w:r>
              <w:rPr>
                <w:rFonts w:hint="eastAsia" w:ascii="Times New Roman" w:hAnsi="方正公文仿宋" w:eastAsia="方正公文仿宋"/>
                <w:kern w:val="0"/>
                <w:szCs w:val="21"/>
                <w:lang w:eastAsia="zh-CN" w:bidi="ar"/>
              </w:rPr>
              <w:t>，对全县农村公益事业财政奖补资金的使用进行监督及管理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5144F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E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5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4926C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8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6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38EE20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85D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2A76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E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2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5A421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883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9995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E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D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40CF8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7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D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0692B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3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1BA32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1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31AA16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289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3A52A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7A116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D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7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2F4D6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266A8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B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F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2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7DC2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0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452BAE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F31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2B50A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D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18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C87D5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9658C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322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9E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p>
          <w:p w14:paraId="4F4B0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1C3E2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FC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2EEF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ADEF9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225F6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4A47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7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0AFF4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0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713B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D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8CC3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0C414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5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7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14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05FF6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B9C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6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C13D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D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9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287AA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1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E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163EA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94F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6771D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E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0F4F6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4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0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60A71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2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5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7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265CA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C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23658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8DA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78AFC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3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3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C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8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4BEA0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1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16EB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2388F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49CF0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4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578F7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6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0A8F8B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F8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03C55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A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83BE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D404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FDEFA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FB6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4514220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EF025F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70C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98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16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FACC5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E9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22971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8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3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7C70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E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20678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8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w:t>
            </w:r>
            <w:r>
              <w:rPr>
                <w:rFonts w:hint="eastAsia" w:ascii="Times New Roman" w:hAnsi="方正公文仿宋" w:eastAsia="方正公文仿宋"/>
                <w:kern w:val="0"/>
                <w:szCs w:val="21"/>
                <w:lang w:eastAsia="zh-CN" w:bidi="ar"/>
              </w:rPr>
              <w:t>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395C61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F02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94D9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5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0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7390E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341F1E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AC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A198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D2BE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7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7D8B5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F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44DDC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9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150E8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0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4C59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7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6C09B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C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00EB8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FB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39D5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1CF5A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D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A504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879A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B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5AC1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3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4574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61F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AC81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2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583B9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F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18FC8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1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E21A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D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31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612E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0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4544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6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2911E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AC5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1A1EE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B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3DD9B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7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0DC27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7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235AB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2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0BF61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0C791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3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38B9C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3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1453B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ACBC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A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B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6B9F7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5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25673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6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3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7B942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F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4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3A0C0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6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795EE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9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2724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0CBD8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D1A7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19EAB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B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7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48531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22B7F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C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5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6682D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9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339CC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F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5E03A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1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603F9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6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8ED0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BC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2B290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23CD8B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F0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七、社会保障（11项）</w:t>
            </w:r>
          </w:p>
        </w:tc>
      </w:tr>
      <w:tr w14:paraId="2DDA0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2D17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288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208D1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7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9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20D89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1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27471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E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08F85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3B8E1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1E762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B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8E68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1BF5A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4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3A678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A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不考核任务人数</w:t>
            </w:r>
          </w:p>
        </w:tc>
      </w:tr>
      <w:tr w14:paraId="5378F2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408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35A0C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B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1CCBF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3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626D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7F293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8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45FB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0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B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E2D1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8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5D13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7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721F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6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32656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E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7752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AE89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707A4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6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3EDA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9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679DF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3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8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9556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2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7021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5DA3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2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E891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3E417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2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B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3DB0ED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4D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67A7C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35FD9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13782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0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9E49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0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08B8C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F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23854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F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D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0CA4A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7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8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40D447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1D7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F088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5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81F3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F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A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5068A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236AC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B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01E67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38189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7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B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0871DA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5E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2B430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A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3FB55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7CC19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31F00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8EB3A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15C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126CD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6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5C083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E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0A6B11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565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08C2A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DB4B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6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A739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6AACD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6A228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3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5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6401B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4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189C1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5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E5EA7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9C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25C00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1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EE27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0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4EDAE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2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0DB3F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9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00ACD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C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400FD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4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7CA5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1D8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A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1BAF7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w:t>
            </w:r>
            <w:r>
              <w:rPr>
                <w:rFonts w:hint="eastAsia" w:ascii="Times New Roman" w:hAnsi="方正公文仿宋" w:eastAsia="方正公文仿宋"/>
                <w:kern w:val="0"/>
                <w:szCs w:val="21"/>
                <w:lang w:eastAsia="zh-CN" w:bidi="ar"/>
              </w:rPr>
              <w:t>住建</w:t>
            </w:r>
            <w:r>
              <w:rPr>
                <w:rFonts w:hint="eastAsia" w:ascii="Times New Roman" w:hAnsi="方正公文仿宋" w:eastAsia="方正公文仿宋"/>
                <w:kern w:val="0"/>
                <w:szCs w:val="21"/>
                <w:lang w:bidi="ar"/>
              </w:rPr>
              <w:t>等有关主管部门负责</w:t>
            </w:r>
          </w:p>
        </w:tc>
      </w:tr>
      <w:tr w14:paraId="048A2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9938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96CD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2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9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3C88E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F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4D50B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C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66FD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9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811A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559D2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E60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33413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56077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A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23771F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8D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2C316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0B8A332B">
      <w:pPr>
        <w:pStyle w:val="3"/>
        <w:spacing w:before="0" w:after="0" w:line="240" w:lineRule="auto"/>
        <w:jc w:val="center"/>
        <w:rPr>
          <w:rFonts w:ascii="Times New Roman" w:hAnsi="Times New Roman" w:eastAsia="方正小标宋_GBK" w:cs="Times New Roman"/>
          <w:color w:val="auto"/>
          <w:spacing w:val="7"/>
          <w:lang w:eastAsia="zh-CN"/>
        </w:rPr>
      </w:pPr>
    </w:p>
    <w:p w14:paraId="043C0BB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302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9A4FCF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9A4FCF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F482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C52A66"/>
    <w:rsid w:val="11D007C4"/>
    <w:rsid w:val="12225BDA"/>
    <w:rsid w:val="162C3DEF"/>
    <w:rsid w:val="390923E1"/>
    <w:rsid w:val="412D7AD4"/>
    <w:rsid w:val="5CEDA0FD"/>
    <w:rsid w:val="6F651FD5"/>
    <w:rsid w:val="70236CD0"/>
    <w:rsid w:val="7540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36944</Words>
  <Characters>38284</Characters>
  <Lines>1</Lines>
  <Paragraphs>1</Paragraphs>
  <TotalTime>2</TotalTime>
  <ScaleCrop>false</ScaleCrop>
  <LinksUpToDate>false</LinksUpToDate>
  <CharactersWithSpaces>38333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2025-07-19T06:18:41Z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eyJoZGlkIjoiMjJiMGU5Yzg3ZDU1MjRlOWM5Yzg5MTFmZGViMWNmMDciLCJ1c2VySWQiOiIzODQwOTU1MTgifQ==</vt:lpwstr>
  </property>
  <property fmtid="{D5CDD505-2E9C-101B-9397-08002B2CF9AE}" pid="3" name="KSOProductBuildVer">
    <vt:lpwstr>2052-12.1.0.21915</vt:lpwstr>
  </property>
  <property fmtid="{D5CDD505-2E9C-101B-9397-08002B2CF9AE}" pid="4" name="ICV">
    <vt:lpwstr>FF592E6619BF41E7871A32184FD637FF_12</vt:lpwstr>
  </property>
</Properties>
</file>